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97CF0" w14:textId="77777777" w:rsidR="001623AB" w:rsidRDefault="00000000">
      <w:pPr>
        <w:tabs>
          <w:tab w:val="left" w:pos="2037"/>
          <w:tab w:val="left" w:pos="3297"/>
          <w:tab w:val="left" w:pos="5307"/>
          <w:tab w:val="left" w:pos="7639"/>
        </w:tabs>
        <w:ind w:left="132"/>
        <w:rPr>
          <w:rFonts w:ascii="Times New Roman"/>
          <w:sz w:val="20"/>
        </w:rPr>
      </w:pPr>
      <w:r>
        <w:rPr>
          <w:rFonts w:ascii="Times New Roman"/>
          <w:noProof/>
          <w:sz w:val="20"/>
        </w:rPr>
        <w:drawing>
          <wp:inline distT="0" distB="0" distL="0" distR="0" wp14:anchorId="756D8AC6" wp14:editId="0671B5C9">
            <wp:extent cx="942112" cy="57407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942112" cy="574071"/>
                    </a:xfrm>
                    <a:prstGeom prst="rect">
                      <a:avLst/>
                    </a:prstGeom>
                  </pic:spPr>
                </pic:pic>
              </a:graphicData>
            </a:graphic>
          </wp:inline>
        </w:drawing>
      </w:r>
      <w:r>
        <w:rPr>
          <w:rFonts w:ascii="Times New Roman"/>
          <w:sz w:val="20"/>
        </w:rPr>
        <w:tab/>
      </w:r>
      <w:r>
        <w:rPr>
          <w:noProof/>
        </w:rPr>
        <w:drawing>
          <wp:inline distT="0" distB="0" distL="0" distR="0" wp14:anchorId="53578A34" wp14:editId="605DD0D8">
            <wp:extent cx="540136" cy="48796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540136" cy="487965"/>
                    </a:xfrm>
                    <a:prstGeom prst="rect">
                      <a:avLst/>
                    </a:prstGeom>
                  </pic:spPr>
                </pic:pic>
              </a:graphicData>
            </a:graphic>
          </wp:inline>
        </w:drawing>
      </w:r>
      <w:r>
        <w:rPr>
          <w:rFonts w:ascii="Times New Roman"/>
          <w:sz w:val="20"/>
        </w:rPr>
        <w:tab/>
      </w:r>
      <w:r>
        <w:rPr>
          <w:noProof/>
        </w:rPr>
        <w:drawing>
          <wp:inline distT="0" distB="0" distL="0" distR="0" wp14:anchorId="0A21D426" wp14:editId="4ED47BF0">
            <wp:extent cx="987771" cy="32232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987771" cy="322325"/>
                    </a:xfrm>
                    <a:prstGeom prst="rect">
                      <a:avLst/>
                    </a:prstGeom>
                  </pic:spPr>
                </pic:pic>
              </a:graphicData>
            </a:graphic>
          </wp:inline>
        </w:drawing>
      </w:r>
      <w:r>
        <w:rPr>
          <w:rFonts w:ascii="Times New Roman"/>
          <w:sz w:val="20"/>
        </w:rPr>
        <w:tab/>
      </w:r>
      <w:r>
        <w:rPr>
          <w:noProof/>
        </w:rPr>
        <w:drawing>
          <wp:inline distT="0" distB="0" distL="0" distR="0" wp14:anchorId="48A380A0" wp14:editId="438A5D2E">
            <wp:extent cx="1276903" cy="336042"/>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7" cstate="print"/>
                    <a:stretch>
                      <a:fillRect/>
                    </a:stretch>
                  </pic:blipFill>
                  <pic:spPr>
                    <a:xfrm>
                      <a:off x="0" y="0"/>
                      <a:ext cx="1276903" cy="336042"/>
                    </a:xfrm>
                    <a:prstGeom prst="rect">
                      <a:avLst/>
                    </a:prstGeom>
                  </pic:spPr>
                </pic:pic>
              </a:graphicData>
            </a:graphic>
          </wp:inline>
        </w:drawing>
      </w:r>
      <w:r>
        <w:rPr>
          <w:rFonts w:ascii="Times New Roman"/>
          <w:sz w:val="20"/>
        </w:rPr>
        <w:tab/>
      </w:r>
      <w:r>
        <w:rPr>
          <w:noProof/>
        </w:rPr>
        <w:drawing>
          <wp:inline distT="0" distB="0" distL="0" distR="0" wp14:anchorId="2E258C7F" wp14:editId="718BB55B">
            <wp:extent cx="1281445" cy="490727"/>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8" cstate="print"/>
                    <a:stretch>
                      <a:fillRect/>
                    </a:stretch>
                  </pic:blipFill>
                  <pic:spPr>
                    <a:xfrm>
                      <a:off x="0" y="0"/>
                      <a:ext cx="1281445" cy="490727"/>
                    </a:xfrm>
                    <a:prstGeom prst="rect">
                      <a:avLst/>
                    </a:prstGeom>
                  </pic:spPr>
                </pic:pic>
              </a:graphicData>
            </a:graphic>
          </wp:inline>
        </w:drawing>
      </w:r>
    </w:p>
    <w:p w14:paraId="61AAED6F" w14:textId="77777777" w:rsidR="001623AB" w:rsidRDefault="00000000">
      <w:pPr>
        <w:pStyle w:val="BodyText"/>
        <w:spacing w:before="7"/>
        <w:rPr>
          <w:rFonts w:ascii="Times New Roman"/>
          <w:sz w:val="9"/>
        </w:rPr>
      </w:pPr>
      <w:r>
        <w:rPr>
          <w:noProof/>
        </w:rPr>
        <w:drawing>
          <wp:anchor distT="0" distB="0" distL="0" distR="0" simplePos="0" relativeHeight="251658240" behindDoc="0" locked="0" layoutInCell="1" allowOverlap="1" wp14:anchorId="17B9605E" wp14:editId="3DB2B6D0">
            <wp:simplePos x="0" y="0"/>
            <wp:positionH relativeFrom="page">
              <wp:posOffset>1038419</wp:posOffset>
            </wp:positionH>
            <wp:positionV relativeFrom="paragraph">
              <wp:posOffset>85570</wp:posOffset>
            </wp:positionV>
            <wp:extent cx="564132" cy="592074"/>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9" cstate="print"/>
                    <a:stretch>
                      <a:fillRect/>
                    </a:stretch>
                  </pic:blipFill>
                  <pic:spPr>
                    <a:xfrm>
                      <a:off x="0" y="0"/>
                      <a:ext cx="564132" cy="592074"/>
                    </a:xfrm>
                    <a:prstGeom prst="rect">
                      <a:avLst/>
                    </a:prstGeom>
                  </pic:spPr>
                </pic:pic>
              </a:graphicData>
            </a:graphic>
          </wp:anchor>
        </w:drawing>
      </w:r>
      <w:r>
        <w:rPr>
          <w:noProof/>
        </w:rPr>
        <w:drawing>
          <wp:anchor distT="0" distB="0" distL="0" distR="0" simplePos="0" relativeHeight="251659264" behindDoc="0" locked="0" layoutInCell="1" allowOverlap="1" wp14:anchorId="0C1C1A0A" wp14:editId="2D1FA842">
            <wp:simplePos x="0" y="0"/>
            <wp:positionH relativeFrom="page">
              <wp:posOffset>1931670</wp:posOffset>
            </wp:positionH>
            <wp:positionV relativeFrom="paragraph">
              <wp:posOffset>146583</wp:posOffset>
            </wp:positionV>
            <wp:extent cx="624572" cy="555498"/>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0" cstate="print"/>
                    <a:stretch>
                      <a:fillRect/>
                    </a:stretch>
                  </pic:blipFill>
                  <pic:spPr>
                    <a:xfrm>
                      <a:off x="0" y="0"/>
                      <a:ext cx="624572" cy="555498"/>
                    </a:xfrm>
                    <a:prstGeom prst="rect">
                      <a:avLst/>
                    </a:prstGeom>
                  </pic:spPr>
                </pic:pic>
              </a:graphicData>
            </a:graphic>
          </wp:anchor>
        </w:drawing>
      </w:r>
      <w:r>
        <w:rPr>
          <w:noProof/>
        </w:rPr>
        <w:drawing>
          <wp:anchor distT="0" distB="0" distL="0" distR="0" simplePos="0" relativeHeight="2" behindDoc="0" locked="0" layoutInCell="1" allowOverlap="1" wp14:anchorId="3286AF6A" wp14:editId="74043B43">
            <wp:simplePos x="0" y="0"/>
            <wp:positionH relativeFrom="page">
              <wp:posOffset>2854960</wp:posOffset>
            </wp:positionH>
            <wp:positionV relativeFrom="paragraph">
              <wp:posOffset>125996</wp:posOffset>
            </wp:positionV>
            <wp:extent cx="1094982" cy="480631"/>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1" cstate="print"/>
                    <a:stretch>
                      <a:fillRect/>
                    </a:stretch>
                  </pic:blipFill>
                  <pic:spPr>
                    <a:xfrm>
                      <a:off x="0" y="0"/>
                      <a:ext cx="1094982" cy="480631"/>
                    </a:xfrm>
                    <a:prstGeom prst="rect">
                      <a:avLst/>
                    </a:prstGeom>
                  </pic:spPr>
                </pic:pic>
              </a:graphicData>
            </a:graphic>
          </wp:anchor>
        </w:drawing>
      </w:r>
      <w:r>
        <w:rPr>
          <w:noProof/>
        </w:rPr>
        <w:drawing>
          <wp:anchor distT="0" distB="0" distL="0" distR="0" simplePos="0" relativeHeight="3" behindDoc="0" locked="0" layoutInCell="1" allowOverlap="1" wp14:anchorId="61627DA9" wp14:editId="1A7BB435">
            <wp:simplePos x="0" y="0"/>
            <wp:positionH relativeFrom="page">
              <wp:posOffset>4334357</wp:posOffset>
            </wp:positionH>
            <wp:positionV relativeFrom="paragraph">
              <wp:posOffset>90927</wp:posOffset>
            </wp:positionV>
            <wp:extent cx="898646" cy="535400"/>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2" cstate="print"/>
                    <a:stretch>
                      <a:fillRect/>
                    </a:stretch>
                  </pic:blipFill>
                  <pic:spPr>
                    <a:xfrm>
                      <a:off x="0" y="0"/>
                      <a:ext cx="898646" cy="535400"/>
                    </a:xfrm>
                    <a:prstGeom prst="rect">
                      <a:avLst/>
                    </a:prstGeom>
                  </pic:spPr>
                </pic:pic>
              </a:graphicData>
            </a:graphic>
          </wp:anchor>
        </w:drawing>
      </w:r>
      <w:r>
        <w:rPr>
          <w:noProof/>
        </w:rPr>
        <w:drawing>
          <wp:anchor distT="0" distB="0" distL="0" distR="0" simplePos="0" relativeHeight="4" behindDoc="0" locked="0" layoutInCell="1" allowOverlap="1" wp14:anchorId="16BD19BE" wp14:editId="6F91423F">
            <wp:simplePos x="0" y="0"/>
            <wp:positionH relativeFrom="page">
              <wp:posOffset>5516371</wp:posOffset>
            </wp:positionH>
            <wp:positionV relativeFrom="paragraph">
              <wp:posOffset>206565</wp:posOffset>
            </wp:positionV>
            <wp:extent cx="1159071" cy="371475"/>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3" cstate="print"/>
                    <a:stretch>
                      <a:fillRect/>
                    </a:stretch>
                  </pic:blipFill>
                  <pic:spPr>
                    <a:xfrm>
                      <a:off x="0" y="0"/>
                      <a:ext cx="1159071" cy="371475"/>
                    </a:xfrm>
                    <a:prstGeom prst="rect">
                      <a:avLst/>
                    </a:prstGeom>
                  </pic:spPr>
                </pic:pic>
              </a:graphicData>
            </a:graphic>
          </wp:anchor>
        </w:drawing>
      </w:r>
    </w:p>
    <w:p w14:paraId="7563AAE4" w14:textId="77777777" w:rsidR="001623AB" w:rsidRDefault="001623AB">
      <w:pPr>
        <w:pStyle w:val="BodyText"/>
        <w:rPr>
          <w:rFonts w:ascii="Times New Roman"/>
          <w:sz w:val="20"/>
        </w:rPr>
      </w:pPr>
    </w:p>
    <w:p w14:paraId="0B9FD86E" w14:textId="77777777" w:rsidR="001623AB" w:rsidRDefault="001623AB">
      <w:pPr>
        <w:pStyle w:val="BodyText"/>
        <w:spacing w:before="10"/>
        <w:rPr>
          <w:rFonts w:ascii="Times New Roman"/>
          <w:sz w:val="15"/>
        </w:rPr>
      </w:pPr>
    </w:p>
    <w:p w14:paraId="0E3EA125" w14:textId="77777777" w:rsidR="001623AB" w:rsidRDefault="00000000">
      <w:pPr>
        <w:spacing w:before="44"/>
        <w:ind w:left="239" w:right="375"/>
        <w:jc w:val="center"/>
        <w:rPr>
          <w:rFonts w:ascii="Calibri"/>
          <w:b/>
          <w:sz w:val="28"/>
        </w:rPr>
      </w:pPr>
      <w:r>
        <w:rPr>
          <w:rFonts w:ascii="Calibri"/>
          <w:b/>
          <w:color w:val="2C4379"/>
          <w:sz w:val="28"/>
        </w:rPr>
        <w:t>El frenini indirin!</w:t>
      </w:r>
    </w:p>
    <w:p w14:paraId="13B8D03A" w14:textId="77777777" w:rsidR="001623AB" w:rsidRDefault="00000000">
      <w:pPr>
        <w:spacing w:before="140"/>
        <w:ind w:left="239" w:right="379"/>
        <w:jc w:val="center"/>
        <w:rPr>
          <w:rFonts w:ascii="Calibri"/>
          <w:b/>
          <w:sz w:val="28"/>
        </w:rPr>
      </w:pPr>
      <w:r>
        <w:rPr>
          <w:rFonts w:ascii="Calibri"/>
          <w:b/>
          <w:color w:val="2C4379"/>
          <w:sz w:val="28"/>
        </w:rPr>
        <w:t>Ara</w:t>
      </w:r>
      <w:r>
        <w:rPr>
          <w:rFonts w:ascii="Calibri"/>
          <w:b/>
          <w:color w:val="2C4379"/>
          <w:sz w:val="28"/>
        </w:rPr>
        <w:t>ç</w:t>
      </w:r>
      <w:r>
        <w:rPr>
          <w:rFonts w:ascii="Calibri"/>
          <w:b/>
          <w:color w:val="2C4379"/>
          <w:sz w:val="28"/>
        </w:rPr>
        <w:t xml:space="preserve"> i</w:t>
      </w:r>
      <w:r>
        <w:rPr>
          <w:rFonts w:ascii="Calibri"/>
          <w:b/>
          <w:color w:val="2C4379"/>
          <w:sz w:val="28"/>
        </w:rPr>
        <w:t>ç</w:t>
      </w:r>
      <w:r>
        <w:rPr>
          <w:rFonts w:ascii="Calibri"/>
          <w:b/>
          <w:color w:val="2C4379"/>
          <w:sz w:val="28"/>
        </w:rPr>
        <w:t>i verilere eri</w:t>
      </w:r>
      <w:r>
        <w:rPr>
          <w:rFonts w:ascii="Calibri"/>
          <w:b/>
          <w:color w:val="2C4379"/>
          <w:sz w:val="28"/>
        </w:rPr>
        <w:t>ş</w:t>
      </w:r>
      <w:r>
        <w:rPr>
          <w:rFonts w:ascii="Calibri"/>
          <w:b/>
          <w:color w:val="2C4379"/>
          <w:sz w:val="28"/>
        </w:rPr>
        <w:t>im ve serbestlik getirme ile ilgili mevzuat teklifindeki gecikmelere son verin</w:t>
      </w:r>
    </w:p>
    <w:p w14:paraId="3418F4FF" w14:textId="77777777" w:rsidR="001623AB" w:rsidRDefault="00000000">
      <w:pPr>
        <w:spacing w:before="34"/>
        <w:ind w:left="2555" w:right="2699"/>
        <w:jc w:val="center"/>
        <w:rPr>
          <w:rFonts w:ascii="Calibri" w:hAnsi="Calibri"/>
          <w:b/>
          <w:sz w:val="28"/>
        </w:rPr>
      </w:pPr>
      <w:r>
        <w:rPr>
          <w:rFonts w:ascii="Calibri" w:hAnsi="Calibri"/>
          <w:b/>
          <w:color w:val="2C4379"/>
          <w:sz w:val="28"/>
        </w:rPr>
        <w:t>Avrupa veriye dayalı mobilite pazarları</w:t>
      </w:r>
    </w:p>
    <w:p w14:paraId="3C7BAFC1" w14:textId="77777777" w:rsidR="001623AB" w:rsidRDefault="00000000">
      <w:pPr>
        <w:spacing w:before="152" w:line="271" w:lineRule="auto"/>
        <w:ind w:left="239" w:right="386"/>
        <w:jc w:val="center"/>
        <w:rPr>
          <w:rFonts w:ascii="Calibri"/>
          <w:b/>
          <w:i/>
          <w:sz w:val="23"/>
        </w:rPr>
      </w:pPr>
      <w:r>
        <w:rPr>
          <w:rFonts w:ascii="Calibri"/>
          <w:b/>
          <w:i/>
          <w:color w:val="2C4379"/>
          <w:sz w:val="23"/>
        </w:rPr>
        <w:t>Otomotiv ve mobilite hizmetleri ekosisteminin b</w:t>
      </w:r>
      <w:r>
        <w:rPr>
          <w:rFonts w:ascii="Calibri"/>
          <w:b/>
          <w:i/>
          <w:color w:val="2C4379"/>
          <w:sz w:val="23"/>
        </w:rPr>
        <w:t>ü</w:t>
      </w:r>
      <w:r>
        <w:rPr>
          <w:rFonts w:ascii="Calibri"/>
          <w:b/>
          <w:i/>
          <w:color w:val="2C4379"/>
          <w:sz w:val="23"/>
        </w:rPr>
        <w:t>y</w:t>
      </w:r>
      <w:r>
        <w:rPr>
          <w:rFonts w:ascii="Calibri"/>
          <w:b/>
          <w:i/>
          <w:color w:val="2C4379"/>
          <w:sz w:val="23"/>
        </w:rPr>
        <w:t>ü</w:t>
      </w:r>
      <w:r>
        <w:rPr>
          <w:rFonts w:ascii="Calibri"/>
          <w:b/>
          <w:i/>
          <w:color w:val="2C4379"/>
          <w:sz w:val="23"/>
        </w:rPr>
        <w:t xml:space="preserve">k </w:t>
      </w:r>
      <w:r>
        <w:rPr>
          <w:rFonts w:ascii="Calibri"/>
          <w:b/>
          <w:i/>
          <w:color w:val="2C4379"/>
          <w:sz w:val="23"/>
        </w:rPr>
        <w:t>ç</w:t>
      </w:r>
      <w:r>
        <w:rPr>
          <w:rFonts w:ascii="Calibri"/>
          <w:b/>
          <w:i/>
          <w:color w:val="2C4379"/>
          <w:sz w:val="23"/>
        </w:rPr>
        <w:t>o</w:t>
      </w:r>
      <w:r>
        <w:rPr>
          <w:rFonts w:ascii="Calibri"/>
          <w:b/>
          <w:i/>
          <w:color w:val="2C4379"/>
          <w:sz w:val="23"/>
        </w:rPr>
        <w:t>ğ</w:t>
      </w:r>
      <w:r>
        <w:rPr>
          <w:rFonts w:ascii="Calibri"/>
          <w:b/>
          <w:i/>
          <w:color w:val="2C4379"/>
          <w:sz w:val="23"/>
        </w:rPr>
        <w:t>unlu</w:t>
      </w:r>
      <w:r>
        <w:rPr>
          <w:rFonts w:ascii="Calibri"/>
          <w:b/>
          <w:i/>
          <w:color w:val="2C4379"/>
          <w:sz w:val="23"/>
        </w:rPr>
        <w:t>ğ</w:t>
      </w:r>
      <w:r>
        <w:rPr>
          <w:rFonts w:ascii="Calibri"/>
          <w:b/>
          <w:i/>
          <w:color w:val="2C4379"/>
          <w:sz w:val="23"/>
        </w:rPr>
        <w:t>u t</w:t>
      </w:r>
      <w:r>
        <w:rPr>
          <w:rFonts w:ascii="Calibri"/>
          <w:b/>
          <w:i/>
          <w:color w:val="2C4379"/>
          <w:sz w:val="23"/>
        </w:rPr>
        <w:t>ü</w:t>
      </w:r>
      <w:r>
        <w:rPr>
          <w:rFonts w:ascii="Calibri"/>
          <w:b/>
          <w:i/>
          <w:color w:val="2C4379"/>
          <w:sz w:val="23"/>
        </w:rPr>
        <w:t>keticilerle birlikte Avrupa Komisyonu'nu h</w:t>
      </w:r>
      <w:r>
        <w:rPr>
          <w:rFonts w:ascii="Calibri"/>
          <w:b/>
          <w:i/>
          <w:color w:val="2C4379"/>
          <w:sz w:val="23"/>
        </w:rPr>
        <w:t>ı</w:t>
      </w:r>
      <w:r>
        <w:rPr>
          <w:rFonts w:ascii="Calibri"/>
          <w:b/>
          <w:i/>
          <w:color w:val="2C4379"/>
          <w:sz w:val="23"/>
        </w:rPr>
        <w:t>zl</w:t>
      </w:r>
      <w:r>
        <w:rPr>
          <w:rFonts w:ascii="Calibri"/>
          <w:b/>
          <w:i/>
          <w:color w:val="2C4379"/>
          <w:sz w:val="23"/>
        </w:rPr>
        <w:t>ı</w:t>
      </w:r>
      <w:r>
        <w:rPr>
          <w:rFonts w:ascii="Calibri"/>
          <w:b/>
          <w:i/>
          <w:color w:val="2C4379"/>
          <w:sz w:val="23"/>
        </w:rPr>
        <w:t xml:space="preserve"> bir </w:t>
      </w:r>
      <w:r>
        <w:rPr>
          <w:rFonts w:ascii="Calibri"/>
          <w:b/>
          <w:i/>
          <w:color w:val="2C4379"/>
          <w:sz w:val="23"/>
        </w:rPr>
        <w:t>ş</w:t>
      </w:r>
      <w:r>
        <w:rPr>
          <w:rFonts w:ascii="Calibri"/>
          <w:b/>
          <w:i/>
          <w:color w:val="2C4379"/>
          <w:sz w:val="23"/>
        </w:rPr>
        <w:t>ekilde ara</w:t>
      </w:r>
      <w:r>
        <w:rPr>
          <w:rFonts w:ascii="Calibri"/>
          <w:b/>
          <w:i/>
          <w:color w:val="2C4379"/>
          <w:sz w:val="23"/>
        </w:rPr>
        <w:t>ç</w:t>
      </w:r>
      <w:r>
        <w:rPr>
          <w:rFonts w:ascii="Calibri"/>
          <w:b/>
          <w:i/>
          <w:color w:val="2C4379"/>
          <w:sz w:val="23"/>
        </w:rPr>
        <w:t xml:space="preserve"> i</w:t>
      </w:r>
      <w:r>
        <w:rPr>
          <w:rFonts w:ascii="Calibri"/>
          <w:b/>
          <w:i/>
          <w:color w:val="2C4379"/>
          <w:sz w:val="23"/>
        </w:rPr>
        <w:t>ç</w:t>
      </w:r>
      <w:r>
        <w:rPr>
          <w:rFonts w:ascii="Calibri"/>
          <w:b/>
          <w:i/>
          <w:color w:val="2C4379"/>
          <w:sz w:val="23"/>
        </w:rPr>
        <w:t>i verilere eri</w:t>
      </w:r>
      <w:r>
        <w:rPr>
          <w:rFonts w:ascii="Calibri"/>
          <w:b/>
          <w:i/>
          <w:color w:val="2C4379"/>
          <w:sz w:val="23"/>
        </w:rPr>
        <w:t>ş</w:t>
      </w:r>
      <w:r>
        <w:rPr>
          <w:rFonts w:ascii="Calibri"/>
          <w:b/>
          <w:i/>
          <w:color w:val="2C4379"/>
          <w:sz w:val="23"/>
        </w:rPr>
        <w:t>im konusunda sekt</w:t>
      </w:r>
      <w:r>
        <w:rPr>
          <w:rFonts w:ascii="Calibri"/>
          <w:b/>
          <w:i/>
          <w:color w:val="2C4379"/>
          <w:sz w:val="23"/>
        </w:rPr>
        <w:t>ö</w:t>
      </w:r>
      <w:r>
        <w:rPr>
          <w:rFonts w:ascii="Calibri"/>
          <w:b/>
          <w:i/>
          <w:color w:val="2C4379"/>
          <w:sz w:val="23"/>
        </w:rPr>
        <w:t xml:space="preserve">re </w:t>
      </w:r>
      <w:r>
        <w:rPr>
          <w:rFonts w:ascii="Calibri"/>
          <w:b/>
          <w:i/>
          <w:color w:val="2C4379"/>
          <w:sz w:val="23"/>
        </w:rPr>
        <w:t>ö</w:t>
      </w:r>
      <w:r>
        <w:rPr>
          <w:rFonts w:ascii="Calibri"/>
          <w:b/>
          <w:i/>
          <w:color w:val="2C4379"/>
          <w:sz w:val="23"/>
        </w:rPr>
        <w:t>zg</w:t>
      </w:r>
      <w:r>
        <w:rPr>
          <w:rFonts w:ascii="Calibri"/>
          <w:b/>
          <w:i/>
          <w:color w:val="2C4379"/>
          <w:sz w:val="23"/>
        </w:rPr>
        <w:t>ü</w:t>
      </w:r>
      <w:r>
        <w:rPr>
          <w:rFonts w:ascii="Calibri"/>
          <w:b/>
          <w:i/>
          <w:color w:val="2C4379"/>
          <w:sz w:val="23"/>
        </w:rPr>
        <w:t xml:space="preserve"> etkili bir mevzuat </w:t>
      </w:r>
      <w:r>
        <w:rPr>
          <w:rFonts w:ascii="Calibri"/>
          <w:b/>
          <w:i/>
          <w:color w:val="2C4379"/>
          <w:sz w:val="23"/>
        </w:rPr>
        <w:t>ö</w:t>
      </w:r>
      <w:r>
        <w:rPr>
          <w:rFonts w:ascii="Calibri"/>
          <w:b/>
          <w:i/>
          <w:color w:val="2C4379"/>
          <w:sz w:val="23"/>
        </w:rPr>
        <w:t xml:space="preserve">nermeye </w:t>
      </w:r>
      <w:r>
        <w:rPr>
          <w:rFonts w:ascii="Calibri"/>
          <w:b/>
          <w:i/>
          <w:color w:val="2C4379"/>
          <w:sz w:val="23"/>
        </w:rPr>
        <w:t>ç</w:t>
      </w:r>
      <w:r>
        <w:rPr>
          <w:rFonts w:ascii="Calibri"/>
          <w:b/>
          <w:i/>
          <w:color w:val="2C4379"/>
          <w:sz w:val="23"/>
        </w:rPr>
        <w:t>a</w:t>
      </w:r>
      <w:r>
        <w:rPr>
          <w:rFonts w:ascii="Calibri"/>
          <w:b/>
          <w:i/>
          <w:color w:val="2C4379"/>
          <w:sz w:val="23"/>
        </w:rPr>
        <w:t>ğı</w:t>
      </w:r>
      <w:r>
        <w:rPr>
          <w:rFonts w:ascii="Calibri"/>
          <w:b/>
          <w:i/>
          <w:color w:val="2C4379"/>
          <w:sz w:val="23"/>
        </w:rPr>
        <w:t>r</w:t>
      </w:r>
      <w:r>
        <w:rPr>
          <w:rFonts w:ascii="Calibri"/>
          <w:b/>
          <w:i/>
          <w:color w:val="2C4379"/>
          <w:sz w:val="23"/>
        </w:rPr>
        <w:t>ı</w:t>
      </w:r>
      <w:r>
        <w:rPr>
          <w:rFonts w:ascii="Calibri"/>
          <w:b/>
          <w:i/>
          <w:color w:val="2C4379"/>
          <w:sz w:val="23"/>
        </w:rPr>
        <w:t>yor.</w:t>
      </w:r>
    </w:p>
    <w:p w14:paraId="70126623" w14:textId="77777777" w:rsidR="001623AB" w:rsidRDefault="00000000">
      <w:pPr>
        <w:spacing w:before="104"/>
        <w:ind w:right="240"/>
        <w:jc w:val="right"/>
        <w:rPr>
          <w:rFonts w:ascii="Calibri"/>
          <w:sz w:val="18"/>
        </w:rPr>
      </w:pPr>
      <w:r>
        <w:rPr>
          <w:rFonts w:ascii="Calibri"/>
        </w:rPr>
        <w:t>Br</w:t>
      </w:r>
      <w:r>
        <w:rPr>
          <w:rFonts w:ascii="Calibri"/>
        </w:rPr>
        <w:t>ü</w:t>
      </w:r>
      <w:r>
        <w:rPr>
          <w:rFonts w:ascii="Calibri"/>
        </w:rPr>
        <w:t>ksel, 24 Ocak 2023</w:t>
      </w:r>
    </w:p>
    <w:p w14:paraId="0CE5438E" w14:textId="77777777" w:rsidR="001623AB" w:rsidRDefault="001623AB">
      <w:pPr>
        <w:pStyle w:val="BodyText"/>
        <w:rPr>
          <w:sz w:val="18"/>
        </w:rPr>
      </w:pPr>
    </w:p>
    <w:p w14:paraId="525D555C" w14:textId="77777777" w:rsidR="001623AB" w:rsidRDefault="001623AB">
      <w:pPr>
        <w:pStyle w:val="BodyText"/>
        <w:spacing w:before="11"/>
        <w:rPr>
          <w:sz w:val="16"/>
        </w:rPr>
      </w:pPr>
    </w:p>
    <w:p w14:paraId="61A07BCB" w14:textId="77777777" w:rsidR="001623AB" w:rsidRDefault="00000000">
      <w:pPr>
        <w:pStyle w:val="BodyText"/>
        <w:spacing w:before="1" w:line="259" w:lineRule="auto"/>
        <w:ind w:left="106" w:right="244"/>
        <w:jc w:val="both"/>
      </w:pPr>
      <w:r>
        <w:t>Bağımsız Servis Sağlayıcılar (BSS'ler) grubu, araç içi verilere, işlevlere ve kaynaklara erişimle ilgili mevzuat teklifinde tekrarlanan gecikmelere son vermek için Başkan von der Leyen'e ve ilgili Komisyon Üyelerine mektup yazdı. Bunu yaparak, Avrupa'nın veriye dayalı otomotiv ve mobilite pazarlarında gerçek rekabet yaratmak amacıyla kullanılmayan potansiyel ortaya çıkarılabilir.</w:t>
      </w:r>
    </w:p>
    <w:p w14:paraId="64B9FEA0" w14:textId="77777777" w:rsidR="001623AB" w:rsidRDefault="00000000">
      <w:pPr>
        <w:pStyle w:val="BodyText"/>
        <w:spacing w:before="122"/>
        <w:ind w:left="106"/>
        <w:jc w:val="both"/>
      </w:pPr>
      <w:r>
        <w:t>ISP Group şöyle ifade ediyor:</w:t>
      </w:r>
    </w:p>
    <w:p w14:paraId="4E6A1ED5" w14:textId="77777777" w:rsidR="001623AB" w:rsidRDefault="00000000">
      <w:pPr>
        <w:pStyle w:val="BodyText"/>
        <w:spacing w:before="141" w:line="259" w:lineRule="auto"/>
        <w:ind w:left="531" w:right="239"/>
        <w:jc w:val="both"/>
      </w:pPr>
      <w:r>
        <w:t>“Komisyon, Aralık 2020'de araç içi verilere erişim mevzuatında 2021 yıl sonuna kadar ilerleme kaydetmeyi taahhüt etti. 2023 yılındayız ve teklif yine ertelendi. Komisyonun altı yıllık zahmetli kanıt toplama ve önceki stratejik politika planlarına rağmen, sektörün büyük çoğunluğu belirsizliğe mahkum edildi ve potansiyel olarak büyük bir pazarın yalnızca bir kısmının yararlandığı büyük pazar engelleri nedeniyle yatırım kararları erteleniyor.</w:t>
      </w:r>
    </w:p>
    <w:p w14:paraId="582DC1FF" w14:textId="77777777" w:rsidR="001623AB" w:rsidRDefault="00000000">
      <w:pPr>
        <w:pStyle w:val="BodyText"/>
        <w:spacing w:before="120" w:line="259" w:lineRule="auto"/>
        <w:ind w:left="531" w:right="238"/>
        <w:jc w:val="both"/>
      </w:pPr>
      <w:r>
        <w:t>Komisyon Başkanını bu süreci yeniden gündeme getirmeye çağırıyoruz. Bu mevzuat, otomotiv ve mobilite hizmetleri sektörü pazarındaki engeli kaldırmak için son derece önem taşımaktadır.   Neredeyse her Avrupalı mobilitenin bir biçimini her gün kullanıyor ve otomotiv ve mobilite ekosisteminde veriye dayalı inovasyon, seçenek zenginliği ve uygun maliyet avantajlarından yararlanabilmeleri gerekiyor. Bugün bu şansları yok. Ve Komisyon bu durumu düzeltmeli.”</w:t>
      </w:r>
    </w:p>
    <w:p w14:paraId="6E782DB3" w14:textId="77777777" w:rsidR="001623AB" w:rsidRDefault="00000000">
      <w:pPr>
        <w:pStyle w:val="BodyText"/>
        <w:spacing w:before="121" w:line="259" w:lineRule="auto"/>
        <w:ind w:left="106" w:right="235"/>
        <w:jc w:val="both"/>
      </w:pPr>
      <w:r>
        <w:t xml:space="preserve">Komisyon, telekomdan havacılık, demiryolu ve enerji sektörüne kadar piyasa kolaylaştırıcı mevzuat konusunda zengin bir geçmişe sahiptir. Avrupa Veri Stratejisinin bir kısmını oluşturan son yasal tedbirler dizisi, birkaç hakim oyuncunun hüküm sürmediği, daha canlı ve rekabetçi bir Avrupa İnternet ekonomisini mümkün kılacak önemli piyasa bozulmalarını ele almaktadır. Ancak, son altı yılda toplanan tüm kanıtlara rağmen, Avrupa otomotiv ve mobilite ekosisteminin, AB'nin hiper ölçekleyicilerin teknoloji platformlarına artan bağımlılık da dahil olmak üzere İnternet ekonomisi için geniş kapsamlı bir dizi AB Veri Stratejisi yönetmeliklerinde değindiği aynı pazar engelleri ve eşitsizliklerle karşılaşmaya devam etmesi son derece kural dışı görünüyor. </w:t>
      </w:r>
    </w:p>
    <w:p w14:paraId="137E129B" w14:textId="77777777" w:rsidR="001623AB" w:rsidRDefault="00000000">
      <w:pPr>
        <w:spacing w:before="121" w:line="256" w:lineRule="auto"/>
        <w:ind w:left="106" w:right="238"/>
        <w:jc w:val="both"/>
        <w:rPr>
          <w:rFonts w:ascii="Calibri" w:hAnsi="Calibri"/>
          <w:b/>
        </w:rPr>
      </w:pPr>
      <w:r>
        <w:rPr>
          <w:rFonts w:ascii="Calibri" w:hAnsi="Calibri"/>
          <w:b/>
        </w:rPr>
        <w:t>Aşağıda imzası bulunan dernekler, Komisyon'u "araç içi verilere ve kaynaklara erişim" konusunda sektöre özel bir düzenlemeye yönelik yasal süreci derhal yeniden başlatmaya çağırıyor. Bu sayede, Mayıs 2024'teki Parlamento dönemi bitmeden önce eş yasa koyucuların metni inceleyip kabul etmeleri için zamanları olacaktır.</w:t>
      </w:r>
    </w:p>
    <w:p w14:paraId="669C9168" w14:textId="77777777" w:rsidR="001623AB" w:rsidRDefault="001623AB">
      <w:pPr>
        <w:spacing w:line="256" w:lineRule="auto"/>
        <w:jc w:val="both"/>
        <w:rPr>
          <w:rFonts w:ascii="Calibri" w:hAnsi="Calibri"/>
        </w:rPr>
        <w:sectPr w:rsidR="001623AB">
          <w:type w:val="continuous"/>
          <w:pgSz w:w="11910" w:h="16850"/>
          <w:pgMar w:top="700" w:right="1000" w:bottom="280" w:left="1140" w:header="720" w:footer="720" w:gutter="0"/>
          <w:cols w:space="720"/>
        </w:sectPr>
      </w:pPr>
    </w:p>
    <w:p w14:paraId="1F833F77" w14:textId="3E6C966F" w:rsidR="001623AB" w:rsidRDefault="003015EA">
      <w:pPr>
        <w:spacing w:before="34"/>
        <w:ind w:left="106"/>
        <w:rPr>
          <w:rFonts w:ascii="Calibri"/>
          <w:b/>
          <w:sz w:val="23"/>
        </w:rPr>
      </w:pPr>
      <w:r>
        <w:rPr>
          <w:rFonts w:ascii="Calibri"/>
          <w:b/>
          <w:sz w:val="23"/>
        </w:rPr>
        <w:lastRenderedPageBreak/>
        <w:t>Arka Plan</w:t>
      </w:r>
    </w:p>
    <w:p w14:paraId="0926754D" w14:textId="55590543" w:rsidR="001623AB" w:rsidRDefault="00000000">
      <w:pPr>
        <w:spacing w:before="183"/>
        <w:ind w:left="106" w:right="236"/>
        <w:jc w:val="both"/>
        <w:rPr>
          <w:rFonts w:ascii="Calibri"/>
          <w:b/>
        </w:rPr>
      </w:pPr>
      <w:r>
        <w:rPr>
          <w:rFonts w:ascii="Calibri"/>
          <w:b/>
        </w:rPr>
        <w:t>Ba</w:t>
      </w:r>
      <w:r>
        <w:rPr>
          <w:rFonts w:ascii="Calibri"/>
          <w:b/>
        </w:rPr>
        <w:t>ğı</w:t>
      </w:r>
      <w:r>
        <w:rPr>
          <w:rFonts w:ascii="Calibri"/>
          <w:b/>
        </w:rPr>
        <w:t>ms</w:t>
      </w:r>
      <w:r>
        <w:rPr>
          <w:rFonts w:ascii="Calibri"/>
          <w:b/>
        </w:rPr>
        <w:t>ı</w:t>
      </w:r>
      <w:r>
        <w:rPr>
          <w:rFonts w:ascii="Calibri"/>
          <w:b/>
        </w:rPr>
        <w:t>z Servis Sa</w:t>
      </w:r>
      <w:r>
        <w:rPr>
          <w:rFonts w:ascii="Calibri"/>
          <w:b/>
        </w:rPr>
        <w:t>ğ</w:t>
      </w:r>
      <w:r>
        <w:rPr>
          <w:rFonts w:ascii="Calibri"/>
          <w:b/>
        </w:rPr>
        <w:t>lay</w:t>
      </w:r>
      <w:r>
        <w:rPr>
          <w:rFonts w:ascii="Calibri"/>
          <w:b/>
        </w:rPr>
        <w:t>ı</w:t>
      </w:r>
      <w:r>
        <w:rPr>
          <w:rFonts w:ascii="Calibri"/>
          <w:b/>
        </w:rPr>
        <w:t>c</w:t>
      </w:r>
      <w:r>
        <w:rPr>
          <w:rFonts w:ascii="Calibri"/>
          <w:b/>
        </w:rPr>
        <w:t>ı</w:t>
      </w:r>
      <w:r>
        <w:rPr>
          <w:rFonts w:ascii="Calibri"/>
          <w:b/>
        </w:rPr>
        <w:t>lar (BSS'ler) grubu</w:t>
      </w:r>
      <w:r>
        <w:rPr>
          <w:rFonts w:ascii="Calibri"/>
        </w:rPr>
        <w:t>, dijitalle</w:t>
      </w:r>
      <w:r>
        <w:rPr>
          <w:rFonts w:ascii="Calibri"/>
        </w:rPr>
        <w:t>ş</w:t>
      </w:r>
      <w:r>
        <w:rPr>
          <w:rFonts w:ascii="Calibri"/>
        </w:rPr>
        <w:t>tirilmi</w:t>
      </w:r>
      <w:r>
        <w:rPr>
          <w:rFonts w:ascii="Calibri"/>
        </w:rPr>
        <w:t>ş</w:t>
      </w:r>
      <w:r>
        <w:rPr>
          <w:rFonts w:ascii="Calibri"/>
        </w:rPr>
        <w:t xml:space="preserve"> hizmetlerin ve veriye dayal</w:t>
      </w:r>
      <w:r>
        <w:rPr>
          <w:rFonts w:ascii="Calibri"/>
        </w:rPr>
        <w:t>ı</w:t>
      </w:r>
      <w:r>
        <w:rPr>
          <w:rFonts w:ascii="Calibri"/>
        </w:rPr>
        <w:t xml:space="preserve"> inovasyonun geli</w:t>
      </w:r>
      <w:r>
        <w:rPr>
          <w:rFonts w:ascii="Calibri"/>
        </w:rPr>
        <w:t>ş</w:t>
      </w:r>
      <w:r>
        <w:rPr>
          <w:rFonts w:ascii="Calibri"/>
        </w:rPr>
        <w:t>tirilmesine yat</w:t>
      </w:r>
      <w:r>
        <w:rPr>
          <w:rFonts w:ascii="Calibri"/>
        </w:rPr>
        <w:t>ı</w:t>
      </w:r>
      <w:r>
        <w:rPr>
          <w:rFonts w:ascii="Calibri"/>
        </w:rPr>
        <w:t>r</w:t>
      </w:r>
      <w:r>
        <w:rPr>
          <w:rFonts w:ascii="Calibri"/>
        </w:rPr>
        <w:t>ı</w:t>
      </w:r>
      <w:r>
        <w:rPr>
          <w:rFonts w:ascii="Calibri"/>
        </w:rPr>
        <w:t>m yapan Avrupa otomotiv aftermarket ve mobilite servis sa</w:t>
      </w:r>
      <w:r>
        <w:rPr>
          <w:rFonts w:ascii="Calibri"/>
        </w:rPr>
        <w:t>ğ</w:t>
      </w:r>
      <w:r>
        <w:rPr>
          <w:rFonts w:ascii="Calibri"/>
        </w:rPr>
        <w:t>lay</w:t>
      </w:r>
      <w:r>
        <w:rPr>
          <w:rFonts w:ascii="Calibri"/>
        </w:rPr>
        <w:t>ı</w:t>
      </w:r>
      <w:r>
        <w:rPr>
          <w:rFonts w:ascii="Calibri"/>
        </w:rPr>
        <w:t>c</w:t>
      </w:r>
      <w:r>
        <w:rPr>
          <w:rFonts w:ascii="Calibri"/>
        </w:rPr>
        <w:t>ı</w:t>
      </w:r>
      <w:r>
        <w:rPr>
          <w:rFonts w:ascii="Calibri"/>
        </w:rPr>
        <w:t>lar</w:t>
      </w:r>
      <w:r>
        <w:rPr>
          <w:rFonts w:ascii="Calibri"/>
        </w:rPr>
        <w:t>ı</w:t>
      </w:r>
      <w:r>
        <w:rPr>
          <w:rFonts w:ascii="Calibri"/>
        </w:rPr>
        <w:t>ndan olu</w:t>
      </w:r>
      <w:r>
        <w:rPr>
          <w:rFonts w:ascii="Calibri"/>
        </w:rPr>
        <w:t>ş</w:t>
      </w:r>
      <w:r>
        <w:rPr>
          <w:rFonts w:ascii="Calibri"/>
        </w:rPr>
        <w:t>an geni</w:t>
      </w:r>
      <w:r>
        <w:rPr>
          <w:rFonts w:ascii="Calibri"/>
        </w:rPr>
        <w:t>ş</w:t>
      </w:r>
      <w:r>
        <w:rPr>
          <w:rFonts w:ascii="Calibri"/>
        </w:rPr>
        <w:t xml:space="preserve"> bir operat</w:t>
      </w:r>
      <w:r>
        <w:rPr>
          <w:rFonts w:ascii="Calibri"/>
        </w:rPr>
        <w:t>ö</w:t>
      </w:r>
      <w:r>
        <w:rPr>
          <w:rFonts w:ascii="Calibri"/>
        </w:rPr>
        <w:t>r yelpazesini temsil etmektedir. Bununla birlikte, ara</w:t>
      </w:r>
      <w:r>
        <w:rPr>
          <w:rFonts w:ascii="Calibri"/>
        </w:rPr>
        <w:t>ç</w:t>
      </w:r>
      <w:r>
        <w:rPr>
          <w:rFonts w:ascii="Calibri"/>
        </w:rPr>
        <w:t xml:space="preserve"> </w:t>
      </w:r>
      <w:r>
        <w:rPr>
          <w:rFonts w:ascii="Calibri"/>
        </w:rPr>
        <w:t>ü</w:t>
      </w:r>
      <w:r>
        <w:rPr>
          <w:rFonts w:ascii="Calibri"/>
        </w:rPr>
        <w:t>reticileri araca t</w:t>
      </w:r>
      <w:r>
        <w:rPr>
          <w:rFonts w:ascii="Calibri"/>
        </w:rPr>
        <w:t>ü</w:t>
      </w:r>
      <w:r>
        <w:rPr>
          <w:rFonts w:ascii="Calibri"/>
        </w:rPr>
        <w:t>mle</w:t>
      </w:r>
      <w:r>
        <w:rPr>
          <w:rFonts w:ascii="Calibri"/>
        </w:rPr>
        <w:t>ş</w:t>
      </w:r>
      <w:r>
        <w:rPr>
          <w:rFonts w:ascii="Calibri"/>
        </w:rPr>
        <w:t>ik tasar</w:t>
      </w:r>
      <w:r>
        <w:rPr>
          <w:rFonts w:ascii="Calibri"/>
        </w:rPr>
        <w:t>ı</w:t>
      </w:r>
      <w:r>
        <w:rPr>
          <w:rFonts w:ascii="Calibri"/>
        </w:rPr>
        <w:t>m sistemi kaynakl</w:t>
      </w:r>
      <w:r>
        <w:rPr>
          <w:rFonts w:ascii="Calibri"/>
        </w:rPr>
        <w:t>ı</w:t>
      </w:r>
      <w:r>
        <w:rPr>
          <w:rFonts w:ascii="Calibri"/>
        </w:rPr>
        <w:t xml:space="preserve"> imtiyazl</w:t>
      </w:r>
      <w:r>
        <w:rPr>
          <w:rFonts w:ascii="Calibri"/>
        </w:rPr>
        <w:t>ı</w:t>
      </w:r>
      <w:r>
        <w:rPr>
          <w:rFonts w:ascii="Calibri"/>
        </w:rPr>
        <w:t xml:space="preserve"> eri</w:t>
      </w:r>
      <w:r>
        <w:rPr>
          <w:rFonts w:ascii="Calibri"/>
        </w:rPr>
        <w:t>ş</w:t>
      </w:r>
      <w:r>
        <w:rPr>
          <w:rFonts w:ascii="Calibri"/>
        </w:rPr>
        <w:t>im sayesinde hakim bir konum ve rekabet avantaj</w:t>
      </w:r>
      <w:r>
        <w:rPr>
          <w:rFonts w:ascii="Calibri"/>
        </w:rPr>
        <w:t>ı</w:t>
      </w:r>
      <w:r>
        <w:rPr>
          <w:rFonts w:ascii="Calibri"/>
        </w:rPr>
        <w:t xml:space="preserve"> elde ederken, </w:t>
      </w:r>
      <w:r>
        <w:rPr>
          <w:rFonts w:ascii="Calibri"/>
          <w:b/>
          <w:bCs/>
        </w:rPr>
        <w:t xml:space="preserve">BSS'ler </w:t>
      </w:r>
      <w:r>
        <w:rPr>
          <w:rFonts w:ascii="Calibri"/>
          <w:b/>
          <w:bCs/>
        </w:rPr>
        <w:t>ş</w:t>
      </w:r>
      <w:r>
        <w:rPr>
          <w:rFonts w:ascii="Calibri"/>
          <w:b/>
          <w:bCs/>
        </w:rPr>
        <w:t>u anda k</w:t>
      </w:r>
      <w:r>
        <w:rPr>
          <w:rFonts w:ascii="Calibri"/>
          <w:b/>
          <w:bCs/>
        </w:rPr>
        <w:t>ı</w:t>
      </w:r>
      <w:r>
        <w:rPr>
          <w:rFonts w:ascii="Calibri"/>
          <w:b/>
          <w:bCs/>
        </w:rPr>
        <w:t>s</w:t>
      </w:r>
      <w:r>
        <w:rPr>
          <w:rFonts w:ascii="Calibri"/>
          <w:b/>
          <w:bCs/>
        </w:rPr>
        <w:t>ı</w:t>
      </w:r>
      <w:r>
        <w:rPr>
          <w:rFonts w:ascii="Calibri"/>
          <w:b/>
          <w:bCs/>
        </w:rPr>
        <w:t>tl</w:t>
      </w:r>
      <w:r>
        <w:rPr>
          <w:rFonts w:ascii="Calibri"/>
          <w:b/>
          <w:bCs/>
        </w:rPr>
        <w:t>ı</w:t>
      </w:r>
      <w:r>
        <w:rPr>
          <w:rFonts w:ascii="Calibri"/>
          <w:b/>
          <w:bCs/>
        </w:rPr>
        <w:t xml:space="preserve"> veri eri</w:t>
      </w:r>
      <w:r>
        <w:rPr>
          <w:rFonts w:ascii="Calibri"/>
          <w:b/>
          <w:bCs/>
        </w:rPr>
        <w:t>ş</w:t>
      </w:r>
      <w:r>
        <w:rPr>
          <w:rFonts w:ascii="Calibri"/>
          <w:b/>
          <w:bCs/>
        </w:rPr>
        <w:t>imi ile engellenmektedir</w:t>
      </w:r>
      <w:r>
        <w:rPr>
          <w:rFonts w:ascii="Calibri"/>
        </w:rPr>
        <w:t>. Bu durum nedeniyle, Avrupal</w:t>
      </w:r>
      <w:r>
        <w:rPr>
          <w:rFonts w:ascii="Calibri"/>
        </w:rPr>
        <w:t>ı</w:t>
      </w:r>
      <w:r>
        <w:rPr>
          <w:rFonts w:ascii="Calibri"/>
        </w:rPr>
        <w:t xml:space="preserve"> mobilite t</w:t>
      </w:r>
      <w:r>
        <w:rPr>
          <w:rFonts w:ascii="Calibri"/>
        </w:rPr>
        <w:t>ü</w:t>
      </w:r>
      <w:r>
        <w:rPr>
          <w:rFonts w:ascii="Calibri"/>
        </w:rPr>
        <w:t>keticisi ve ticari kullan</w:t>
      </w:r>
      <w:r>
        <w:rPr>
          <w:rFonts w:ascii="Calibri"/>
        </w:rPr>
        <w:t>ı</w:t>
      </w:r>
      <w:r>
        <w:rPr>
          <w:rFonts w:ascii="Calibri"/>
        </w:rPr>
        <w:t>c</w:t>
      </w:r>
      <w:r>
        <w:rPr>
          <w:rFonts w:ascii="Calibri"/>
        </w:rPr>
        <w:t>ı</w:t>
      </w:r>
      <w:r>
        <w:rPr>
          <w:rFonts w:ascii="Calibri"/>
        </w:rPr>
        <w:t>, inovasyon ve uygun maliyet sunan geni</w:t>
      </w:r>
      <w:r>
        <w:rPr>
          <w:rFonts w:ascii="Calibri"/>
        </w:rPr>
        <w:t>ş</w:t>
      </w:r>
      <w:r>
        <w:rPr>
          <w:rFonts w:ascii="Calibri"/>
        </w:rPr>
        <w:t xml:space="preserve"> mobilite ve aftermarket hizmetleri se</w:t>
      </w:r>
      <w:r>
        <w:rPr>
          <w:rFonts w:ascii="Calibri"/>
        </w:rPr>
        <w:t>ç</w:t>
      </w:r>
      <w:r>
        <w:rPr>
          <w:rFonts w:ascii="Calibri"/>
        </w:rPr>
        <w:t>eneklerinden mahrum kal</w:t>
      </w:r>
      <w:r>
        <w:rPr>
          <w:rFonts w:ascii="Calibri"/>
        </w:rPr>
        <w:t>ı</w:t>
      </w:r>
      <w:r>
        <w:rPr>
          <w:rFonts w:ascii="Calibri"/>
        </w:rPr>
        <w:t xml:space="preserve">yor.   Ve, </w:t>
      </w:r>
      <w:r>
        <w:rPr>
          <w:rFonts w:ascii="Calibri"/>
          <w:b/>
          <w:bCs/>
        </w:rPr>
        <w:t>Avrupa'n</w:t>
      </w:r>
      <w:r>
        <w:rPr>
          <w:rFonts w:ascii="Calibri"/>
          <w:b/>
          <w:bCs/>
        </w:rPr>
        <w:t>ı</w:t>
      </w:r>
      <w:r>
        <w:rPr>
          <w:rFonts w:ascii="Calibri"/>
          <w:b/>
          <w:bCs/>
        </w:rPr>
        <w:t>n rekabet g</w:t>
      </w:r>
      <w:r>
        <w:rPr>
          <w:rFonts w:ascii="Calibri"/>
          <w:b/>
          <w:bCs/>
        </w:rPr>
        <w:t>ü</w:t>
      </w:r>
      <w:r>
        <w:rPr>
          <w:rFonts w:ascii="Calibri"/>
          <w:b/>
          <w:bCs/>
        </w:rPr>
        <w:t>c</w:t>
      </w:r>
      <w:r>
        <w:rPr>
          <w:rFonts w:ascii="Calibri"/>
          <w:b/>
          <w:bCs/>
        </w:rPr>
        <w:t>ü</w:t>
      </w:r>
      <w:r>
        <w:rPr>
          <w:rFonts w:ascii="Calibri"/>
          <w:b/>
          <w:bCs/>
        </w:rPr>
        <w:t>n</w:t>
      </w:r>
      <w:r>
        <w:rPr>
          <w:rFonts w:ascii="Calibri"/>
          <w:b/>
          <w:bCs/>
        </w:rPr>
        <w:t>ü</w:t>
      </w:r>
      <w:r>
        <w:rPr>
          <w:rFonts w:ascii="Calibri"/>
          <w:b/>
          <w:bCs/>
        </w:rPr>
        <w:t xml:space="preserve"> ve daha g</w:t>
      </w:r>
      <w:r>
        <w:rPr>
          <w:rFonts w:ascii="Calibri"/>
          <w:b/>
          <w:bCs/>
        </w:rPr>
        <w:t>ü</w:t>
      </w:r>
      <w:r>
        <w:rPr>
          <w:rFonts w:ascii="Calibri"/>
          <w:b/>
          <w:bCs/>
        </w:rPr>
        <w:t>venli, daha ak</w:t>
      </w:r>
      <w:r>
        <w:rPr>
          <w:rFonts w:ascii="Calibri"/>
          <w:b/>
          <w:bCs/>
        </w:rPr>
        <w:t>ı</w:t>
      </w:r>
      <w:r>
        <w:rPr>
          <w:rFonts w:ascii="Calibri"/>
          <w:b/>
          <w:bCs/>
        </w:rPr>
        <w:t>ll</w:t>
      </w:r>
      <w:r>
        <w:rPr>
          <w:rFonts w:ascii="Calibri"/>
          <w:b/>
          <w:bCs/>
        </w:rPr>
        <w:t>ı</w:t>
      </w:r>
      <w:r>
        <w:rPr>
          <w:rFonts w:ascii="Calibri"/>
          <w:b/>
          <w:bCs/>
        </w:rPr>
        <w:t xml:space="preserve"> ve daha s</w:t>
      </w:r>
      <w:r>
        <w:rPr>
          <w:rFonts w:ascii="Calibri"/>
          <w:b/>
          <w:bCs/>
        </w:rPr>
        <w:t>ü</w:t>
      </w:r>
      <w:r>
        <w:rPr>
          <w:rFonts w:ascii="Calibri"/>
          <w:b/>
          <w:bCs/>
        </w:rPr>
        <w:t>rd</w:t>
      </w:r>
      <w:r>
        <w:rPr>
          <w:rFonts w:ascii="Calibri"/>
          <w:b/>
          <w:bCs/>
        </w:rPr>
        <w:t>ü</w:t>
      </w:r>
      <w:r>
        <w:rPr>
          <w:rFonts w:ascii="Calibri"/>
          <w:b/>
          <w:bCs/>
        </w:rPr>
        <w:t>r</w:t>
      </w:r>
      <w:r>
        <w:rPr>
          <w:rFonts w:ascii="Calibri"/>
          <w:b/>
          <w:bCs/>
        </w:rPr>
        <w:t>ü</w:t>
      </w:r>
      <w:r>
        <w:rPr>
          <w:rFonts w:ascii="Calibri"/>
          <w:b/>
          <w:bCs/>
        </w:rPr>
        <w:t>lebilir ula</w:t>
      </w:r>
      <w:r>
        <w:rPr>
          <w:rFonts w:ascii="Calibri"/>
          <w:b/>
          <w:bCs/>
        </w:rPr>
        <w:t>şı</w:t>
      </w:r>
      <w:r>
        <w:rPr>
          <w:rFonts w:ascii="Calibri"/>
          <w:b/>
          <w:bCs/>
        </w:rPr>
        <w:t>m hizmetlerine daha fazla eri</w:t>
      </w:r>
      <w:r>
        <w:rPr>
          <w:rFonts w:ascii="Calibri"/>
          <w:b/>
          <w:bCs/>
        </w:rPr>
        <w:t>ş</w:t>
      </w:r>
      <w:r>
        <w:rPr>
          <w:rFonts w:ascii="Calibri"/>
          <w:b/>
          <w:bCs/>
        </w:rPr>
        <w:t>im gibi di</w:t>
      </w:r>
      <w:r>
        <w:rPr>
          <w:rFonts w:ascii="Calibri"/>
          <w:b/>
          <w:bCs/>
        </w:rPr>
        <w:t>ğ</w:t>
      </w:r>
      <w:r>
        <w:rPr>
          <w:rFonts w:ascii="Calibri"/>
          <w:b/>
          <w:bCs/>
        </w:rPr>
        <w:t>er siyasi hedefleri tehlikeye at</w:t>
      </w:r>
      <w:r>
        <w:rPr>
          <w:rFonts w:ascii="Calibri"/>
          <w:b/>
          <w:bCs/>
        </w:rPr>
        <w:t>ı</w:t>
      </w:r>
      <w:r>
        <w:rPr>
          <w:rFonts w:ascii="Calibri"/>
          <w:b/>
          <w:bCs/>
        </w:rPr>
        <w:t>yor.</w:t>
      </w:r>
    </w:p>
    <w:p w14:paraId="236EBFE0" w14:textId="77777777" w:rsidR="001623AB" w:rsidRDefault="00000000">
      <w:pPr>
        <w:spacing w:before="120"/>
        <w:ind w:left="106" w:right="239"/>
        <w:jc w:val="both"/>
        <w:rPr>
          <w:rFonts w:ascii="Calibri" w:hAnsi="Calibri"/>
        </w:rPr>
      </w:pPr>
      <w:r>
        <w:rPr>
          <w:rFonts w:ascii="Calibri" w:hAnsi="Calibri"/>
        </w:rPr>
        <w:t xml:space="preserve">Araçlarda ve günlük mobilitede sunulan dijital hizmetler, potansiyel açısından zengindir ve </w:t>
      </w:r>
      <w:r>
        <w:rPr>
          <w:rFonts w:ascii="Calibri" w:hAnsi="Calibri"/>
          <w:b/>
          <w:bCs/>
        </w:rPr>
        <w:t>AB Sürdürülebilir ve Akıllı Mobilite gündeminin bütününü</w:t>
      </w:r>
      <w:r>
        <w:rPr>
          <w:rFonts w:ascii="Calibri" w:hAnsi="Calibri"/>
        </w:rPr>
        <w:t xml:space="preserve"> etkin şekilde destekleyebilir ve hızlandırabilir. Ancak, dijital hizmetler Avrupa'da olması gerekenden daha yavaş gelişiyor çünkü şimdiye kadar </w:t>
      </w:r>
      <w:r>
        <w:rPr>
          <w:rFonts w:ascii="Calibri" w:hAnsi="Calibri"/>
          <w:b/>
          <w:bCs/>
        </w:rPr>
        <w:t>araç üreticileri, sattıkları -ancak sahibi olmadıkları- araçlar tarafından üretilen veriler üzerinde araç sahibinin aleyhine olacak şekilde imtiyazlı kontrole sahiplerdi</w:t>
      </w:r>
      <w:r>
        <w:rPr>
          <w:rFonts w:ascii="Calibri" w:hAnsi="Calibri"/>
        </w:rPr>
        <w:t>.</w:t>
      </w:r>
      <w:r>
        <w:rPr>
          <w:rFonts w:ascii="Calibri" w:hAnsi="Calibri"/>
          <w:b/>
        </w:rPr>
        <w:t xml:space="preserve"> </w:t>
      </w:r>
      <w:r>
        <w:rPr>
          <w:rFonts w:ascii="Calibri" w:hAnsi="Calibri"/>
        </w:rPr>
        <w:t xml:space="preserve">Bu avantaj, </w:t>
      </w:r>
      <w:r>
        <w:rPr>
          <w:rFonts w:ascii="Calibri" w:hAnsi="Calibri"/>
          <w:b/>
          <w:bCs/>
        </w:rPr>
        <w:t>hiper ölçekleyicilerin teknoloji platformlarına artan bağımlılıkla</w:t>
      </w:r>
      <w:r>
        <w:rPr>
          <w:rFonts w:ascii="Calibri" w:hAnsi="Calibri"/>
        </w:rPr>
        <w:t xml:space="preserve"> birleşiyor. Bu platformlar, araç üreticileriyle ortaklık kurulan bu sektörde hızla büyüyen rollerine rağmen, ana akım İnternet ekonomisi için bir dizi AB Veri Stratejisi yönetmelikleriyle düzenlenir, ancak bu düzenleme araçlar için geçerli değildir.</w:t>
      </w:r>
    </w:p>
    <w:p w14:paraId="6AC3B0FD" w14:textId="77777777" w:rsidR="001623AB" w:rsidRDefault="001623AB">
      <w:pPr>
        <w:pStyle w:val="BodyText"/>
      </w:pPr>
    </w:p>
    <w:p w14:paraId="7069D816" w14:textId="77777777" w:rsidR="001623AB" w:rsidRDefault="001623AB">
      <w:pPr>
        <w:pStyle w:val="BodyText"/>
        <w:spacing w:before="9"/>
        <w:rPr>
          <w:sz w:val="19"/>
        </w:rPr>
      </w:pPr>
    </w:p>
    <w:p w14:paraId="2793BFB3" w14:textId="77777777" w:rsidR="001623AB" w:rsidRDefault="00000000">
      <w:pPr>
        <w:spacing w:before="1"/>
        <w:ind w:left="106"/>
        <w:rPr>
          <w:rFonts w:ascii="Calibri"/>
          <w:b/>
          <w:sz w:val="28"/>
        </w:rPr>
      </w:pPr>
      <w:r>
        <w:rPr>
          <w:rFonts w:ascii="Calibri"/>
          <w:b/>
          <w:sz w:val="28"/>
        </w:rPr>
        <w:t>İ</w:t>
      </w:r>
      <w:r>
        <w:rPr>
          <w:rFonts w:ascii="Calibri"/>
          <w:b/>
          <w:sz w:val="28"/>
        </w:rPr>
        <w:t>mzac</w:t>
      </w:r>
      <w:r>
        <w:rPr>
          <w:rFonts w:ascii="Calibri"/>
          <w:b/>
          <w:sz w:val="28"/>
        </w:rPr>
        <w:t>ı</w:t>
      </w:r>
      <w:r>
        <w:rPr>
          <w:rFonts w:ascii="Calibri"/>
          <w:b/>
          <w:sz w:val="28"/>
        </w:rPr>
        <w:t xml:space="preserve"> dernekler</w:t>
      </w:r>
    </w:p>
    <w:p w14:paraId="6A2E0BAB" w14:textId="77777777" w:rsidR="001623AB" w:rsidRDefault="001623AB">
      <w:pPr>
        <w:pStyle w:val="BodyText"/>
        <w:spacing w:before="9"/>
        <w:rPr>
          <w:b/>
          <w:sz w:val="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1"/>
        <w:gridCol w:w="6577"/>
      </w:tblGrid>
      <w:tr w:rsidR="001623AB" w14:paraId="3102EC47" w14:textId="77777777">
        <w:trPr>
          <w:trHeight w:val="1956"/>
        </w:trPr>
        <w:tc>
          <w:tcPr>
            <w:tcW w:w="2831" w:type="dxa"/>
          </w:tcPr>
          <w:p w14:paraId="03829091" w14:textId="77777777" w:rsidR="001623AB" w:rsidRDefault="001623AB">
            <w:pPr>
              <w:pStyle w:val="TableParagraph"/>
              <w:rPr>
                <w:rFonts w:ascii="Calibri"/>
                <w:b/>
                <w:sz w:val="20"/>
              </w:rPr>
            </w:pPr>
          </w:p>
          <w:p w14:paraId="42F0BE4D" w14:textId="77777777" w:rsidR="001623AB" w:rsidRDefault="001623AB">
            <w:pPr>
              <w:pStyle w:val="TableParagraph"/>
              <w:spacing w:before="9"/>
              <w:rPr>
                <w:rFonts w:ascii="Calibri"/>
                <w:b/>
                <w:sz w:val="15"/>
              </w:rPr>
            </w:pPr>
          </w:p>
          <w:p w14:paraId="28C16F95" w14:textId="6D63CBEC" w:rsidR="001623AB" w:rsidRDefault="00000000">
            <w:pPr>
              <w:pStyle w:val="TableParagraph"/>
              <w:ind w:left="566"/>
              <w:rPr>
                <w:rFonts w:ascii="Calibri"/>
                <w:sz w:val="20"/>
              </w:rPr>
            </w:pPr>
            <w:r>
              <w:rPr>
                <w:rFonts w:ascii="Calibri"/>
                <w:noProof/>
                <w:sz w:val="20"/>
              </w:rPr>
              <w:drawing>
                <wp:inline distT="0" distB="0" distL="0" distR="0" wp14:anchorId="32A75BE1" wp14:editId="597C9D47">
                  <wp:extent cx="832496" cy="521208"/>
                  <wp:effectExtent l="0" t="0" r="0" b="0"/>
                  <wp:docPr id="21" name="image11.jpeg" descr="R:\ADPA\Logos\Logo\Logo_ADPA_20151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4" cstate="print"/>
                          <a:stretch>
                            <a:fillRect/>
                          </a:stretch>
                        </pic:blipFill>
                        <pic:spPr>
                          <a:xfrm>
                            <a:off x="0" y="0"/>
                            <a:ext cx="832496" cy="521208"/>
                          </a:xfrm>
                          <a:prstGeom prst="rect">
                            <a:avLst/>
                          </a:prstGeom>
                        </pic:spPr>
                      </pic:pic>
                    </a:graphicData>
                  </a:graphic>
                </wp:inline>
              </w:drawing>
            </w:r>
          </w:p>
        </w:tc>
        <w:tc>
          <w:tcPr>
            <w:tcW w:w="6577" w:type="dxa"/>
          </w:tcPr>
          <w:p w14:paraId="4E2D0AC4" w14:textId="53620890" w:rsidR="001623AB" w:rsidRDefault="00000000" w:rsidP="003015EA">
            <w:pPr>
              <w:pStyle w:val="TableParagraph"/>
              <w:spacing w:before="9"/>
              <w:ind w:left="110" w:right="95"/>
              <w:jc w:val="both"/>
              <w:rPr>
                <w:sz w:val="20"/>
              </w:rPr>
            </w:pPr>
            <w:r>
              <w:rPr>
                <w:color w:val="000099"/>
                <w:sz w:val="20"/>
              </w:rPr>
              <w:t xml:space="preserve">ADPA </w:t>
            </w:r>
            <w:r>
              <w:rPr>
                <w:sz w:val="20"/>
              </w:rPr>
              <w:t xml:space="preserve">– </w:t>
            </w:r>
            <w:r w:rsidRPr="003015EA">
              <w:rPr>
                <w:sz w:val="20"/>
              </w:rPr>
              <w:t>Avrupa Bağımsız Veri Yayıncıları Birliği ADPA, otomotiv verilerine ve bilgilerine adil erişim ve bağımsız veri yayıncıları için rekabetçi çerçeve koşulları sağlamayı amaçlamaktadır.</w:t>
            </w:r>
            <w:r>
              <w:rPr>
                <w:sz w:val="20"/>
              </w:rPr>
              <w:t xml:space="preserve"> Böylece, yayıncıların otomotiv aftermarket operatörlerine rekabetçi, yenilikçi ve çok markalı ürünler ve hizmetler tasarlamasına ve sunmasına olanak sağlanıyor. Basın iletişim: Pierre Thibaudat – Genel Direktör – </w:t>
            </w:r>
            <w:r>
              <w:rPr>
                <w:color w:val="006FC0"/>
                <w:sz w:val="20"/>
              </w:rPr>
              <w:t>pierre.thibaudat</w:t>
            </w:r>
            <w:hyperlink r:id="rId15">
              <w:r>
                <w:rPr>
                  <w:color w:val="006FC0"/>
                  <w:sz w:val="20"/>
                  <w:u w:val="single" w:color="006FC0"/>
                </w:rPr>
                <w:t>@adpa.eu</w:t>
              </w:r>
            </w:hyperlink>
            <w:r>
              <w:rPr>
                <w:color w:val="006FC0"/>
                <w:sz w:val="20"/>
              </w:rPr>
              <w:t xml:space="preserve"> </w:t>
            </w:r>
            <w:r>
              <w:rPr>
                <w:sz w:val="20"/>
              </w:rPr>
              <w:t>– Tel:</w:t>
            </w:r>
            <w:r w:rsidR="003015EA">
              <w:rPr>
                <w:sz w:val="20"/>
              </w:rPr>
              <w:t xml:space="preserve"> </w:t>
            </w:r>
            <w:r>
              <w:rPr>
                <w:sz w:val="20"/>
              </w:rPr>
              <w:t>+32 2 761 95 18.</w:t>
            </w:r>
          </w:p>
        </w:tc>
      </w:tr>
      <w:tr w:rsidR="001623AB" w14:paraId="6C6EFFD8" w14:textId="77777777">
        <w:trPr>
          <w:trHeight w:val="1761"/>
        </w:trPr>
        <w:tc>
          <w:tcPr>
            <w:tcW w:w="2831" w:type="dxa"/>
          </w:tcPr>
          <w:p w14:paraId="582F28EC" w14:textId="77777777" w:rsidR="001623AB" w:rsidRDefault="001623AB">
            <w:pPr>
              <w:pStyle w:val="TableParagraph"/>
              <w:rPr>
                <w:rFonts w:ascii="Calibri"/>
                <w:b/>
                <w:sz w:val="20"/>
              </w:rPr>
            </w:pPr>
          </w:p>
          <w:p w14:paraId="2441CA5D" w14:textId="77777777" w:rsidR="001623AB" w:rsidRDefault="001623AB">
            <w:pPr>
              <w:pStyle w:val="TableParagraph"/>
              <w:rPr>
                <w:rFonts w:ascii="Calibri"/>
                <w:b/>
                <w:sz w:val="20"/>
              </w:rPr>
            </w:pPr>
          </w:p>
          <w:p w14:paraId="0AFD2974" w14:textId="77777777" w:rsidR="001623AB" w:rsidRDefault="001623AB">
            <w:pPr>
              <w:pStyle w:val="TableParagraph"/>
              <w:spacing w:before="11"/>
              <w:rPr>
                <w:rFonts w:ascii="Calibri"/>
                <w:b/>
                <w:sz w:val="13"/>
              </w:rPr>
            </w:pPr>
          </w:p>
          <w:p w14:paraId="2D2C0E8C" w14:textId="77777777" w:rsidR="001623AB" w:rsidRDefault="00000000">
            <w:pPr>
              <w:pStyle w:val="TableParagraph"/>
              <w:ind w:left="943"/>
              <w:rPr>
                <w:rFonts w:ascii="Calibri"/>
                <w:sz w:val="20"/>
              </w:rPr>
            </w:pPr>
            <w:r>
              <w:rPr>
                <w:rFonts w:ascii="Calibri"/>
                <w:noProof/>
                <w:sz w:val="20"/>
              </w:rPr>
              <w:drawing>
                <wp:inline distT="0" distB="0" distL="0" distR="0" wp14:anchorId="1CAAA521" wp14:editId="598DB1E3">
                  <wp:extent cx="495300" cy="447675"/>
                  <wp:effectExtent l="0" t="0" r="0" b="0"/>
                  <wp:docPr id="23" name="image2.png" descr="A picture containing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5" cstate="print"/>
                          <a:stretch>
                            <a:fillRect/>
                          </a:stretch>
                        </pic:blipFill>
                        <pic:spPr>
                          <a:xfrm>
                            <a:off x="0" y="0"/>
                            <a:ext cx="495300" cy="447675"/>
                          </a:xfrm>
                          <a:prstGeom prst="rect">
                            <a:avLst/>
                          </a:prstGeom>
                        </pic:spPr>
                      </pic:pic>
                    </a:graphicData>
                  </a:graphic>
                </wp:inline>
              </w:drawing>
            </w:r>
          </w:p>
        </w:tc>
        <w:tc>
          <w:tcPr>
            <w:tcW w:w="6577" w:type="dxa"/>
          </w:tcPr>
          <w:p w14:paraId="0E36EEAC" w14:textId="77777777" w:rsidR="001623AB" w:rsidRDefault="00000000">
            <w:pPr>
              <w:pStyle w:val="TableParagraph"/>
              <w:spacing w:before="2"/>
              <w:ind w:left="110" w:right="93"/>
              <w:jc w:val="both"/>
              <w:rPr>
                <w:sz w:val="20"/>
              </w:rPr>
            </w:pPr>
            <w:r>
              <w:rPr>
                <w:color w:val="000099"/>
                <w:sz w:val="20"/>
              </w:rPr>
              <w:t xml:space="preserve">AIRC - </w:t>
            </w:r>
            <w:r>
              <w:rPr>
                <w:sz w:val="20"/>
              </w:rPr>
              <w:t xml:space="preserve">Uluslararası Karoseri Serviisleri Derneği’nin kısaltmasıdır. 1970 yılında kurulan AIRC, araç tamir alanında önde gelen ulusal organizasyonların global federasyonudur. Bu üye organizasyonlar, birçok ülkede 50.000'den fazla araç tamir ve araç üreticisi şirketini temsil etmektedir. Basın iletişim: Thomas Aukamm – Yönetici Direktör - </w:t>
            </w:r>
            <w:hyperlink r:id="rId16">
              <w:r>
                <w:rPr>
                  <w:color w:val="0462C1"/>
                  <w:sz w:val="20"/>
                  <w:u w:val="single" w:color="0462C1"/>
                </w:rPr>
                <w:t>aukamm@zkf.de</w:t>
              </w:r>
            </w:hyperlink>
            <w:r>
              <w:rPr>
                <w:color w:val="0462C1"/>
                <w:sz w:val="20"/>
              </w:rPr>
              <w:t xml:space="preserve"> </w:t>
            </w:r>
            <w:r>
              <w:rPr>
                <w:color w:val="006FC0"/>
                <w:sz w:val="20"/>
              </w:rPr>
              <w:t xml:space="preserve">– </w:t>
            </w:r>
            <w:r>
              <w:rPr>
                <w:sz w:val="20"/>
              </w:rPr>
              <w:t>Tel: +49 6031 79479-0.</w:t>
            </w:r>
          </w:p>
        </w:tc>
      </w:tr>
      <w:tr w:rsidR="001623AB" w14:paraId="1C7F5778" w14:textId="77777777">
        <w:trPr>
          <w:trHeight w:val="1949"/>
        </w:trPr>
        <w:tc>
          <w:tcPr>
            <w:tcW w:w="2831" w:type="dxa"/>
          </w:tcPr>
          <w:p w14:paraId="7959E69E" w14:textId="77777777" w:rsidR="001623AB" w:rsidRDefault="001623AB">
            <w:pPr>
              <w:pStyle w:val="TableParagraph"/>
              <w:rPr>
                <w:rFonts w:ascii="Calibri"/>
                <w:b/>
                <w:sz w:val="20"/>
              </w:rPr>
            </w:pPr>
          </w:p>
          <w:p w14:paraId="08F143FF" w14:textId="77777777" w:rsidR="001623AB" w:rsidRDefault="001623AB">
            <w:pPr>
              <w:pStyle w:val="TableParagraph"/>
              <w:rPr>
                <w:rFonts w:ascii="Calibri"/>
                <w:b/>
                <w:sz w:val="20"/>
              </w:rPr>
            </w:pPr>
          </w:p>
          <w:p w14:paraId="2ACA4636" w14:textId="77777777" w:rsidR="001623AB" w:rsidRDefault="001623AB">
            <w:pPr>
              <w:pStyle w:val="TableParagraph"/>
              <w:spacing w:before="11" w:after="1"/>
              <w:rPr>
                <w:rFonts w:ascii="Calibri"/>
                <w:b/>
                <w:sz w:val="12"/>
              </w:rPr>
            </w:pPr>
          </w:p>
          <w:p w14:paraId="2CF43E6A" w14:textId="77777777" w:rsidR="001623AB" w:rsidRDefault="00000000">
            <w:pPr>
              <w:pStyle w:val="TableParagraph"/>
              <w:ind w:left="565"/>
              <w:rPr>
                <w:rFonts w:ascii="Calibri"/>
                <w:sz w:val="20"/>
              </w:rPr>
            </w:pPr>
            <w:r>
              <w:rPr>
                <w:rFonts w:ascii="Calibri"/>
                <w:noProof/>
                <w:sz w:val="20"/>
              </w:rPr>
              <w:drawing>
                <wp:inline distT="0" distB="0" distL="0" distR="0" wp14:anchorId="2BEE3592" wp14:editId="6C89EF4A">
                  <wp:extent cx="911880" cy="297561"/>
                  <wp:effectExtent l="0" t="0" r="0" b="0"/>
                  <wp:docPr id="25" name="image12.jpeg" descr="Text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jpeg"/>
                          <pic:cNvPicPr/>
                        </pic:nvPicPr>
                        <pic:blipFill>
                          <a:blip r:embed="rId17" cstate="print"/>
                          <a:stretch>
                            <a:fillRect/>
                          </a:stretch>
                        </pic:blipFill>
                        <pic:spPr>
                          <a:xfrm>
                            <a:off x="0" y="0"/>
                            <a:ext cx="911880" cy="297561"/>
                          </a:xfrm>
                          <a:prstGeom prst="rect">
                            <a:avLst/>
                          </a:prstGeom>
                        </pic:spPr>
                      </pic:pic>
                    </a:graphicData>
                  </a:graphic>
                </wp:inline>
              </w:drawing>
            </w:r>
          </w:p>
        </w:tc>
        <w:tc>
          <w:tcPr>
            <w:tcW w:w="6577" w:type="dxa"/>
          </w:tcPr>
          <w:p w14:paraId="162B76F5" w14:textId="65A306FD" w:rsidR="001623AB" w:rsidRDefault="00000000" w:rsidP="003015EA">
            <w:pPr>
              <w:pStyle w:val="TableParagraph"/>
              <w:spacing w:before="3"/>
              <w:ind w:left="110" w:right="91"/>
              <w:jc w:val="both"/>
              <w:rPr>
                <w:sz w:val="20"/>
              </w:rPr>
            </w:pPr>
            <w:r w:rsidRPr="003015EA">
              <w:rPr>
                <w:color w:val="000099"/>
                <w:sz w:val="20"/>
              </w:rPr>
              <w:t>CECRA</w:t>
            </w:r>
            <w:r>
              <w:rPr>
                <w:sz w:val="20"/>
              </w:rPr>
              <w:t xml:space="preserve"> - Avrupa Motor Ticareti ve Tamir Konseyi- motor ticareti ve tamir işletmelerinin ve belirli markaların araç bayileri adına Avrupa Bayi Konseylerinin çıkarlarını temsil eden Avrupa Federasyonu'dur. Konseyin amacı, temsil ettiği motor ticareti ve tamir işletmeleri için elverişli bir Avrupa düzenleyici çerçeveyi devam ettirmektir. Basın iletişim: Bernard Lycke – Genel Direktör– </w:t>
            </w:r>
            <w:hyperlink r:id="rId18">
              <w:r>
                <w:rPr>
                  <w:color w:val="0462C1"/>
                  <w:sz w:val="20"/>
                  <w:u w:val="single" w:color="0462C1"/>
                </w:rPr>
                <w:t>Bernard.lycke@cecra.eu</w:t>
              </w:r>
            </w:hyperlink>
            <w:r>
              <w:rPr>
                <w:color w:val="0462C1"/>
                <w:sz w:val="20"/>
              </w:rPr>
              <w:t xml:space="preserve"> </w:t>
            </w:r>
            <w:r>
              <w:rPr>
                <w:sz w:val="20"/>
              </w:rPr>
              <w:t>– Tel: +32 2 771 96</w:t>
            </w:r>
            <w:r w:rsidR="003015EA">
              <w:rPr>
                <w:sz w:val="20"/>
              </w:rPr>
              <w:t xml:space="preserve"> </w:t>
            </w:r>
            <w:r>
              <w:rPr>
                <w:sz w:val="20"/>
              </w:rPr>
              <w:t>56.</w:t>
            </w:r>
          </w:p>
        </w:tc>
      </w:tr>
      <w:tr w:rsidR="001623AB" w14:paraId="0C7E2D1F" w14:textId="77777777">
        <w:trPr>
          <w:trHeight w:val="2691"/>
        </w:trPr>
        <w:tc>
          <w:tcPr>
            <w:tcW w:w="2831" w:type="dxa"/>
          </w:tcPr>
          <w:p w14:paraId="5C4B4E7D" w14:textId="77777777" w:rsidR="001623AB" w:rsidRDefault="001623AB">
            <w:pPr>
              <w:pStyle w:val="TableParagraph"/>
              <w:rPr>
                <w:rFonts w:ascii="Calibri"/>
                <w:b/>
                <w:sz w:val="20"/>
              </w:rPr>
            </w:pPr>
          </w:p>
          <w:p w14:paraId="500EFE94" w14:textId="77777777" w:rsidR="001623AB" w:rsidRDefault="001623AB">
            <w:pPr>
              <w:pStyle w:val="TableParagraph"/>
              <w:rPr>
                <w:rFonts w:ascii="Calibri"/>
                <w:b/>
                <w:sz w:val="20"/>
              </w:rPr>
            </w:pPr>
          </w:p>
          <w:p w14:paraId="6A49668E" w14:textId="77777777" w:rsidR="001623AB" w:rsidRDefault="001623AB">
            <w:pPr>
              <w:pStyle w:val="TableParagraph"/>
              <w:spacing w:before="9" w:after="1"/>
              <w:rPr>
                <w:rFonts w:ascii="Calibri"/>
                <w:b/>
                <w:sz w:val="21"/>
              </w:rPr>
            </w:pPr>
          </w:p>
          <w:p w14:paraId="1CF039EB" w14:textId="77777777" w:rsidR="001623AB" w:rsidRDefault="00000000">
            <w:pPr>
              <w:pStyle w:val="TableParagraph"/>
              <w:ind w:left="280"/>
              <w:rPr>
                <w:rFonts w:ascii="Calibri"/>
                <w:sz w:val="20"/>
              </w:rPr>
            </w:pPr>
            <w:r>
              <w:rPr>
                <w:rFonts w:ascii="Calibri"/>
                <w:noProof/>
                <w:sz w:val="20"/>
              </w:rPr>
              <w:drawing>
                <wp:inline distT="0" distB="0" distL="0" distR="0" wp14:anchorId="02ADCE24" wp14:editId="60C9F00D">
                  <wp:extent cx="1292756" cy="340232"/>
                  <wp:effectExtent l="0" t="0" r="0" b="0"/>
                  <wp:docPr id="27" name="image13.png" descr="A picture containing text, sig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png"/>
                          <pic:cNvPicPr/>
                        </pic:nvPicPr>
                        <pic:blipFill>
                          <a:blip r:embed="rId19" cstate="print"/>
                          <a:stretch>
                            <a:fillRect/>
                          </a:stretch>
                        </pic:blipFill>
                        <pic:spPr>
                          <a:xfrm>
                            <a:off x="0" y="0"/>
                            <a:ext cx="1292756" cy="340232"/>
                          </a:xfrm>
                          <a:prstGeom prst="rect">
                            <a:avLst/>
                          </a:prstGeom>
                        </pic:spPr>
                      </pic:pic>
                    </a:graphicData>
                  </a:graphic>
                </wp:inline>
              </w:drawing>
            </w:r>
          </w:p>
        </w:tc>
        <w:tc>
          <w:tcPr>
            <w:tcW w:w="6577" w:type="dxa"/>
          </w:tcPr>
          <w:p w14:paraId="33422B26" w14:textId="1CD2B817" w:rsidR="001623AB" w:rsidRDefault="00000000" w:rsidP="003015EA">
            <w:pPr>
              <w:pStyle w:val="TableParagraph"/>
              <w:spacing w:before="2"/>
              <w:ind w:left="110" w:right="94"/>
              <w:jc w:val="both"/>
              <w:rPr>
                <w:sz w:val="20"/>
              </w:rPr>
            </w:pPr>
            <w:r>
              <w:rPr>
                <w:color w:val="000099"/>
                <w:sz w:val="20"/>
              </w:rPr>
              <w:t>CLEPA -</w:t>
            </w:r>
            <w:r>
              <w:rPr>
                <w:sz w:val="20"/>
              </w:rPr>
              <w:t xml:space="preserve"> Avrupa Otomotiv Tedarikçileri Birliği, güvenli, akıllı ve sürdürülebilir mobilite için son teknoloji parçalar ve yenilikçi teknolojiler tedarik eden 3.000'ü aşkın şirketi temsil etmektedir. CLEPA, 120'den fazla global araba parçası, sistemi ve modülü tedarikçisini ve 20'den fazla ulusal ticaret birliğini ve Avrupa sektör derneklerini bir araya getiriyor. CLEPA, sektörü politika yapıcılara bağlayan ve AB otomotiv tedarik sanayisinin sesidir. Otomotiv sektörü, AB'deki Ar-Ge'nin %30'unu oluşturuyor ve bu da onu bir numaralı yatırımcı yapıyor. Avrupalı otomotiv tedarikçileri, araştırma ve geliştirmeye yılda 30 milyar Euro'nun üzerinde yatırım yapıyor. Otomotiv tedarikçileri her yıl</w:t>
            </w:r>
            <w:r w:rsidR="003015EA">
              <w:rPr>
                <w:sz w:val="20"/>
              </w:rPr>
              <w:t xml:space="preserve"> </w:t>
            </w:r>
            <w:r>
              <w:rPr>
                <w:sz w:val="20"/>
              </w:rPr>
              <w:t xml:space="preserve">9.000 yeni patent başvurusu yapıyor. Avrupa’daki otomotiv tedarikçileri 1,7 milyon doğrudan istihdam yaratmaktadır. Basın iletişim: Clara Guillén - </w:t>
            </w:r>
            <w:hyperlink r:id="rId20">
              <w:r>
                <w:rPr>
                  <w:color w:val="0462C1"/>
                  <w:sz w:val="20"/>
                  <w:u w:val="single" w:color="0462C1"/>
                </w:rPr>
                <w:t>c.guillen@clepa.be</w:t>
              </w:r>
            </w:hyperlink>
            <w:r>
              <w:rPr>
                <w:color w:val="0462C1"/>
                <w:sz w:val="20"/>
              </w:rPr>
              <w:t xml:space="preserve"> </w:t>
            </w:r>
            <w:r>
              <w:rPr>
                <w:sz w:val="20"/>
              </w:rPr>
              <w:t>– Tel: +32 2 743 91 39.</w:t>
            </w:r>
          </w:p>
        </w:tc>
      </w:tr>
    </w:tbl>
    <w:p w14:paraId="5F95A958" w14:textId="77777777" w:rsidR="001623AB" w:rsidRDefault="001623AB">
      <w:pPr>
        <w:spacing w:line="240" w:lineRule="atLeast"/>
        <w:jc w:val="both"/>
        <w:rPr>
          <w:sz w:val="20"/>
        </w:rPr>
        <w:sectPr w:rsidR="001623AB">
          <w:pgSz w:w="11910" w:h="16850"/>
          <w:pgMar w:top="1280" w:right="1000" w:bottom="280" w:left="114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1"/>
        <w:gridCol w:w="6577"/>
      </w:tblGrid>
      <w:tr w:rsidR="001623AB" w14:paraId="68310774" w14:textId="77777777">
        <w:trPr>
          <w:trHeight w:val="2683"/>
        </w:trPr>
        <w:tc>
          <w:tcPr>
            <w:tcW w:w="2831" w:type="dxa"/>
          </w:tcPr>
          <w:p w14:paraId="0B8E7FD2" w14:textId="77777777" w:rsidR="001623AB" w:rsidRDefault="001623AB">
            <w:pPr>
              <w:pStyle w:val="TableParagraph"/>
              <w:rPr>
                <w:rFonts w:ascii="Calibri"/>
                <w:b/>
                <w:sz w:val="20"/>
              </w:rPr>
            </w:pPr>
          </w:p>
          <w:p w14:paraId="74CA4F83" w14:textId="77777777" w:rsidR="001623AB" w:rsidRDefault="001623AB">
            <w:pPr>
              <w:pStyle w:val="TableParagraph"/>
              <w:spacing w:before="11"/>
              <w:rPr>
                <w:rFonts w:ascii="Calibri"/>
                <w:b/>
              </w:rPr>
            </w:pPr>
          </w:p>
          <w:p w14:paraId="10594596" w14:textId="77777777" w:rsidR="001623AB" w:rsidRDefault="00000000">
            <w:pPr>
              <w:pStyle w:val="TableParagraph"/>
              <w:ind w:left="407"/>
              <w:rPr>
                <w:rFonts w:ascii="Calibri"/>
                <w:sz w:val="20"/>
              </w:rPr>
            </w:pPr>
            <w:r>
              <w:rPr>
                <w:rFonts w:ascii="Calibri"/>
                <w:noProof/>
                <w:sz w:val="20"/>
              </w:rPr>
              <w:drawing>
                <wp:inline distT="0" distB="0" distL="0" distR="0" wp14:anchorId="3E0B0CAD" wp14:editId="48F20D2F">
                  <wp:extent cx="1377565" cy="554354"/>
                  <wp:effectExtent l="0" t="0" r="0" b="0"/>
                  <wp:docPr id="29" name="image14.png" descr="A picture containing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4.png"/>
                          <pic:cNvPicPr/>
                        </pic:nvPicPr>
                        <pic:blipFill>
                          <a:blip r:embed="rId21" cstate="print"/>
                          <a:stretch>
                            <a:fillRect/>
                          </a:stretch>
                        </pic:blipFill>
                        <pic:spPr>
                          <a:xfrm>
                            <a:off x="0" y="0"/>
                            <a:ext cx="1377565" cy="554354"/>
                          </a:xfrm>
                          <a:prstGeom prst="rect">
                            <a:avLst/>
                          </a:prstGeom>
                        </pic:spPr>
                      </pic:pic>
                    </a:graphicData>
                  </a:graphic>
                </wp:inline>
              </w:drawing>
            </w:r>
          </w:p>
        </w:tc>
        <w:tc>
          <w:tcPr>
            <w:tcW w:w="6577" w:type="dxa"/>
          </w:tcPr>
          <w:p w14:paraId="4BCF3BAC" w14:textId="77777777" w:rsidR="001623AB" w:rsidRDefault="00000000">
            <w:pPr>
              <w:pStyle w:val="TableParagraph"/>
              <w:spacing w:before="2"/>
              <w:ind w:left="110" w:right="96"/>
              <w:jc w:val="both"/>
              <w:rPr>
                <w:sz w:val="20"/>
              </w:rPr>
            </w:pPr>
            <w:r>
              <w:rPr>
                <w:color w:val="000099"/>
                <w:sz w:val="20"/>
              </w:rPr>
              <w:t xml:space="preserve">EGEA - </w:t>
            </w:r>
            <w:r>
              <w:rPr>
                <w:sz w:val="20"/>
              </w:rPr>
              <w:t xml:space="preserve">Avrupa Servis ve Test Ekipmanı Derneği, otomotiv endüstriyel değer zincirini desteklemenin ayrılmaz bir parçası olarak, araçların tamiri, servisi ve teknik muayenesi için alet ve ekipman üreticilerini ve ithalatçılarını temsil etmektedir. Derneğin rolü, üyelerini yeni araç teknolojileri ve yasal ve standardizasyon gereklilikleri konusunda güncel tutmaya çabalayarak dernek üyelerinin otomotiv aftermarkete en iyi ekipmanı ve hizmeti sunabilmesini ve böylece servis ve test ekipmanları tedarik, hizmet ve kalibrasyon sektöründe rekabetçi olabilmelerini sağlamaktır. Basın iletişim: Jordi Brunet – Genel Sekreter </w:t>
            </w:r>
            <w:r>
              <w:rPr>
                <w:color w:val="0462C1"/>
                <w:sz w:val="20"/>
                <w:u w:val="single" w:color="0462C1"/>
              </w:rPr>
              <w:t>sg@egea-</w:t>
            </w:r>
            <w:r>
              <w:rPr>
                <w:color w:val="0462C1"/>
                <w:sz w:val="20"/>
              </w:rPr>
              <w:t xml:space="preserve"> </w:t>
            </w:r>
            <w:r>
              <w:rPr>
                <w:color w:val="0462C1"/>
                <w:sz w:val="20"/>
                <w:u w:val="single" w:color="0462C1"/>
              </w:rPr>
              <w:t>association.eu</w:t>
            </w:r>
            <w:r>
              <w:rPr>
                <w:color w:val="0462C1"/>
                <w:sz w:val="20"/>
              </w:rPr>
              <w:t xml:space="preserve"> </w:t>
            </w:r>
            <w:r>
              <w:rPr>
                <w:sz w:val="20"/>
              </w:rPr>
              <w:t>– Tel: +32 499 39 04 59.</w:t>
            </w:r>
          </w:p>
        </w:tc>
      </w:tr>
      <w:tr w:rsidR="001623AB" w14:paraId="2580A7AC" w14:textId="77777777">
        <w:trPr>
          <w:trHeight w:val="2446"/>
        </w:trPr>
        <w:tc>
          <w:tcPr>
            <w:tcW w:w="2831" w:type="dxa"/>
          </w:tcPr>
          <w:p w14:paraId="3BF7E267" w14:textId="77777777" w:rsidR="001623AB" w:rsidRDefault="001623AB">
            <w:pPr>
              <w:pStyle w:val="TableParagraph"/>
              <w:spacing w:before="2" w:after="1"/>
              <w:rPr>
                <w:rFonts w:ascii="Calibri"/>
                <w:b/>
                <w:sz w:val="28"/>
              </w:rPr>
            </w:pPr>
          </w:p>
          <w:p w14:paraId="2FB56D86" w14:textId="77777777" w:rsidR="001623AB" w:rsidRDefault="00000000">
            <w:pPr>
              <w:pStyle w:val="TableParagraph"/>
              <w:ind w:left="853"/>
              <w:rPr>
                <w:rFonts w:ascii="Calibri"/>
                <w:sz w:val="20"/>
              </w:rPr>
            </w:pPr>
            <w:r>
              <w:rPr>
                <w:rFonts w:ascii="Calibri"/>
                <w:noProof/>
                <w:sz w:val="20"/>
              </w:rPr>
              <w:drawing>
                <wp:inline distT="0" distB="0" distL="0" distR="0" wp14:anchorId="08F090BB" wp14:editId="0FED0272">
                  <wp:extent cx="608075" cy="617220"/>
                  <wp:effectExtent l="0" t="0" r="0" b="0"/>
                  <wp:docPr id="31" name="image15.pn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png"/>
                          <pic:cNvPicPr/>
                        </pic:nvPicPr>
                        <pic:blipFill>
                          <a:blip r:embed="rId22" cstate="print"/>
                          <a:stretch>
                            <a:fillRect/>
                          </a:stretch>
                        </pic:blipFill>
                        <pic:spPr>
                          <a:xfrm>
                            <a:off x="0" y="0"/>
                            <a:ext cx="608075" cy="617220"/>
                          </a:xfrm>
                          <a:prstGeom prst="rect">
                            <a:avLst/>
                          </a:prstGeom>
                        </pic:spPr>
                      </pic:pic>
                    </a:graphicData>
                  </a:graphic>
                </wp:inline>
              </w:drawing>
            </w:r>
          </w:p>
        </w:tc>
        <w:tc>
          <w:tcPr>
            <w:tcW w:w="6577" w:type="dxa"/>
          </w:tcPr>
          <w:p w14:paraId="1173E0B8" w14:textId="2C04F5DE" w:rsidR="001623AB" w:rsidRDefault="00000000" w:rsidP="003015EA">
            <w:pPr>
              <w:pStyle w:val="TableParagraph"/>
              <w:spacing w:before="10"/>
              <w:ind w:left="110" w:right="95"/>
              <w:jc w:val="both"/>
              <w:rPr>
                <w:sz w:val="20"/>
              </w:rPr>
            </w:pPr>
            <w:r>
              <w:rPr>
                <w:color w:val="000099"/>
                <w:sz w:val="20"/>
              </w:rPr>
              <w:t xml:space="preserve">ETRMA </w:t>
            </w:r>
            <w:r>
              <w:rPr>
                <w:sz w:val="20"/>
              </w:rPr>
              <w:t xml:space="preserve">lastik ve kauçuk mamul üreticilerinin Avrupa kurumları nezdindeki sesidir. ETRMA faaliyetleri, temel olarak temsil-koordinasyon-iletişim-tanıtım ve teknik irtibat alanlarına odaklanmaktadır. ETRMA'nın temel amacı, Avrupalı lastik ve kauçuk üreticilerinin düzenleyici ve ilişkili çıkarlarını hem Avrupa hem de uluslararası düzeyde temsil etmektir. ETRMA, Avrupalı lastik ve kauçuk üreticilerinin bu kritik görevi yerine getirmek üzere özel olarak belirlediği tek muhataptır. Basın iletişim: Dr Zoi Sagia - Mobilite ve Taşımacılık Yöneticisi </w:t>
            </w:r>
            <w:hyperlink r:id="rId23">
              <w:r>
                <w:rPr>
                  <w:color w:val="0462C1"/>
                  <w:sz w:val="20"/>
                  <w:u w:val="single" w:color="0462C1"/>
                </w:rPr>
                <w:t>z.sagia@etrma.org</w:t>
              </w:r>
            </w:hyperlink>
            <w:r>
              <w:rPr>
                <w:color w:val="0462C1"/>
                <w:sz w:val="20"/>
              </w:rPr>
              <w:t xml:space="preserve"> </w:t>
            </w:r>
            <w:r>
              <w:rPr>
                <w:sz w:val="20"/>
              </w:rPr>
              <w:t>– Tel:</w:t>
            </w:r>
            <w:r w:rsidR="003015EA">
              <w:rPr>
                <w:sz w:val="20"/>
              </w:rPr>
              <w:t xml:space="preserve"> </w:t>
            </w:r>
            <w:r>
              <w:rPr>
                <w:sz w:val="20"/>
              </w:rPr>
              <w:t>+ 32 2 218 49 40.</w:t>
            </w:r>
          </w:p>
        </w:tc>
      </w:tr>
      <w:tr w:rsidR="001623AB" w14:paraId="1BD63A4A" w14:textId="77777777">
        <w:trPr>
          <w:trHeight w:val="1956"/>
        </w:trPr>
        <w:tc>
          <w:tcPr>
            <w:tcW w:w="2831" w:type="dxa"/>
          </w:tcPr>
          <w:p w14:paraId="53AD2722" w14:textId="77777777" w:rsidR="001623AB" w:rsidRDefault="001623AB">
            <w:pPr>
              <w:pStyle w:val="TableParagraph"/>
              <w:spacing w:before="6"/>
              <w:rPr>
                <w:rFonts w:ascii="Calibri"/>
                <w:b/>
                <w:sz w:val="28"/>
              </w:rPr>
            </w:pPr>
          </w:p>
          <w:p w14:paraId="34C31F4A" w14:textId="77777777" w:rsidR="001623AB" w:rsidRDefault="00000000">
            <w:pPr>
              <w:pStyle w:val="TableParagraph"/>
              <w:ind w:left="746"/>
              <w:rPr>
                <w:rFonts w:ascii="Calibri"/>
                <w:sz w:val="20"/>
              </w:rPr>
            </w:pPr>
            <w:r>
              <w:rPr>
                <w:rFonts w:ascii="Calibri"/>
                <w:noProof/>
                <w:sz w:val="20"/>
              </w:rPr>
              <w:drawing>
                <wp:inline distT="0" distB="0" distL="0" distR="0" wp14:anchorId="12837ED9" wp14:editId="59A5FD7B">
                  <wp:extent cx="524636" cy="524637"/>
                  <wp:effectExtent l="0" t="0" r="0" b="0"/>
                  <wp:docPr id="33" name="image16.jpe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6.jpeg"/>
                          <pic:cNvPicPr/>
                        </pic:nvPicPr>
                        <pic:blipFill>
                          <a:blip r:embed="rId24" cstate="print"/>
                          <a:stretch>
                            <a:fillRect/>
                          </a:stretch>
                        </pic:blipFill>
                        <pic:spPr>
                          <a:xfrm>
                            <a:off x="0" y="0"/>
                            <a:ext cx="524636" cy="524637"/>
                          </a:xfrm>
                          <a:prstGeom prst="rect">
                            <a:avLst/>
                          </a:prstGeom>
                        </pic:spPr>
                      </pic:pic>
                    </a:graphicData>
                  </a:graphic>
                </wp:inline>
              </w:drawing>
            </w:r>
          </w:p>
        </w:tc>
        <w:tc>
          <w:tcPr>
            <w:tcW w:w="6577" w:type="dxa"/>
          </w:tcPr>
          <w:p w14:paraId="3C942EDA" w14:textId="77777777" w:rsidR="001623AB" w:rsidRDefault="00000000">
            <w:pPr>
              <w:pStyle w:val="TableParagraph"/>
              <w:spacing w:before="2"/>
              <w:ind w:left="110" w:right="102"/>
              <w:jc w:val="both"/>
              <w:rPr>
                <w:sz w:val="20"/>
              </w:rPr>
            </w:pPr>
            <w:r>
              <w:rPr>
                <w:color w:val="000099"/>
                <w:sz w:val="20"/>
              </w:rPr>
              <w:t xml:space="preserve">FIA Region I </w:t>
            </w:r>
            <w:r>
              <w:rPr>
                <w:sz w:val="20"/>
              </w:rPr>
              <w:t xml:space="preserve">1904 yılında kurulan Fédération Internationale de l'Automobile (FIA), dünya çapında 146 ülkeden öncü ulusal otomobil organizasyonlarını bir araya getirir ve dünya motor sporlarının yönetim organıdır. Merkezi Brüksel'de bulunan FIA Bölge I ofisi, Avrupa, Orta Doğu ve Afrika bölgesinde 36 milyondan fazla üyeyi temsil eden 100 Mobilite Kulübünden oluşan bir tüketici organıdır. </w:t>
            </w:r>
            <w:r>
              <w:t xml:space="preserve">Basın iletişim: </w:t>
            </w:r>
            <w:r>
              <w:rPr>
                <w:sz w:val="20"/>
              </w:rPr>
              <w:t xml:space="preserve">Diogo Pinto - </w:t>
            </w:r>
            <w:hyperlink r:id="rId25">
              <w:r>
                <w:rPr>
                  <w:color w:val="0462C1"/>
                  <w:sz w:val="20"/>
                  <w:u w:val="single" w:color="0462C1"/>
                </w:rPr>
                <w:t>dpinto@fia.com</w:t>
              </w:r>
            </w:hyperlink>
            <w:r>
              <w:rPr>
                <w:color w:val="0462C1"/>
                <w:sz w:val="20"/>
                <w:u w:val="single" w:color="0462C1"/>
              </w:rPr>
              <w:t xml:space="preserve"> </w:t>
            </w:r>
            <w:r>
              <w:rPr>
                <w:sz w:val="20"/>
              </w:rPr>
              <w:t>– Tel: +32 2 282 08 12.</w:t>
            </w:r>
          </w:p>
        </w:tc>
      </w:tr>
      <w:tr w:rsidR="001623AB" w14:paraId="0B2A9B47" w14:textId="77777777">
        <w:trPr>
          <w:trHeight w:val="2194"/>
        </w:trPr>
        <w:tc>
          <w:tcPr>
            <w:tcW w:w="2831" w:type="dxa"/>
          </w:tcPr>
          <w:p w14:paraId="0486DB3D" w14:textId="77777777" w:rsidR="001623AB" w:rsidRDefault="001623AB">
            <w:pPr>
              <w:pStyle w:val="TableParagraph"/>
              <w:rPr>
                <w:rFonts w:ascii="Calibri"/>
                <w:b/>
                <w:sz w:val="20"/>
              </w:rPr>
            </w:pPr>
          </w:p>
          <w:p w14:paraId="44956909" w14:textId="77777777" w:rsidR="001623AB" w:rsidRDefault="001623AB">
            <w:pPr>
              <w:pStyle w:val="TableParagraph"/>
              <w:spacing w:before="9"/>
              <w:rPr>
                <w:rFonts w:ascii="Calibri"/>
                <w:b/>
                <w:sz w:val="16"/>
              </w:rPr>
            </w:pPr>
          </w:p>
          <w:p w14:paraId="32EB48C0" w14:textId="77777777" w:rsidR="001623AB" w:rsidRDefault="00000000">
            <w:pPr>
              <w:pStyle w:val="TableParagraph"/>
              <w:ind w:left="636"/>
              <w:rPr>
                <w:rFonts w:ascii="Calibri"/>
                <w:sz w:val="20"/>
              </w:rPr>
            </w:pPr>
            <w:r>
              <w:rPr>
                <w:rFonts w:ascii="Calibri"/>
                <w:noProof/>
                <w:sz w:val="20"/>
              </w:rPr>
              <w:drawing>
                <wp:inline distT="0" distB="0" distL="0" distR="0" wp14:anchorId="4FFA4FCB" wp14:editId="50D3FF1A">
                  <wp:extent cx="1222611" cy="423481"/>
                  <wp:effectExtent l="0" t="0" r="0" b="0"/>
                  <wp:docPr id="35" name="image17.jpeg" descr="R:\Right to Repair Campaign\Logo\R2RC European members\Figiefa_Logo_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7.jpeg"/>
                          <pic:cNvPicPr/>
                        </pic:nvPicPr>
                        <pic:blipFill>
                          <a:blip r:embed="rId26" cstate="print"/>
                          <a:stretch>
                            <a:fillRect/>
                          </a:stretch>
                        </pic:blipFill>
                        <pic:spPr>
                          <a:xfrm>
                            <a:off x="0" y="0"/>
                            <a:ext cx="1222611" cy="423481"/>
                          </a:xfrm>
                          <a:prstGeom prst="rect">
                            <a:avLst/>
                          </a:prstGeom>
                        </pic:spPr>
                      </pic:pic>
                    </a:graphicData>
                  </a:graphic>
                </wp:inline>
              </w:drawing>
            </w:r>
          </w:p>
        </w:tc>
        <w:tc>
          <w:tcPr>
            <w:tcW w:w="6577" w:type="dxa"/>
          </w:tcPr>
          <w:p w14:paraId="0752B65C" w14:textId="77777777" w:rsidR="001623AB" w:rsidRDefault="00000000">
            <w:pPr>
              <w:pStyle w:val="TableParagraph"/>
              <w:spacing w:before="3"/>
              <w:ind w:left="110" w:right="95"/>
              <w:jc w:val="both"/>
              <w:rPr>
                <w:sz w:val="20"/>
              </w:rPr>
            </w:pPr>
            <w:r>
              <w:rPr>
                <w:color w:val="000099"/>
                <w:sz w:val="20"/>
              </w:rPr>
              <w:t xml:space="preserve">FIGIEFA </w:t>
            </w:r>
            <w:r>
              <w:rPr>
                <w:sz w:val="20"/>
              </w:rPr>
              <w:t xml:space="preserve">uluslararası bağımsız otomotiv aftermarket dağıtıcıları federasyonudur. Federasyonun üyeleri, otomotiv yedek parça ve bileşenlerinin bağımsız distribütörlerini ve toptancılarını ve ilişkili tamir zincirlerini temsil etmektedir. Temsil ettiği 44.000 şirket, Avrupa'ya yayılmış 64.000 satış noktasında Avrupa'da 350.000'den fazla kişiyi istihdam etmektedir. Bu şirketlerin büyük çoğunluğu KOBİ’lerdir. FIGIEFA'nın amacı, araç yedek parçaları, servis ve tamir için pazarda serbest ve etkin rekabet sağlamaktır. Basın iletişim: Álvaro de la Cruz </w:t>
            </w:r>
            <w:hyperlink r:id="rId27">
              <w:r>
                <w:rPr>
                  <w:color w:val="0462C1"/>
                  <w:sz w:val="20"/>
                  <w:u w:val="single" w:color="0462C1"/>
                </w:rPr>
                <w:t>alvaro.delacruz@figiefa.eu</w:t>
              </w:r>
            </w:hyperlink>
            <w:r>
              <w:rPr>
                <w:color w:val="0462C1"/>
                <w:sz w:val="20"/>
                <w:u w:val="single" w:color="0462C1"/>
              </w:rPr>
              <w:t xml:space="preserve"> </w:t>
            </w:r>
            <w:r>
              <w:rPr>
                <w:sz w:val="20"/>
              </w:rPr>
              <w:t>– Tel: +32 276 19 516.</w:t>
            </w:r>
          </w:p>
        </w:tc>
      </w:tr>
      <w:tr w:rsidR="001623AB" w14:paraId="726E663F" w14:textId="77777777">
        <w:trPr>
          <w:trHeight w:val="2712"/>
        </w:trPr>
        <w:tc>
          <w:tcPr>
            <w:tcW w:w="2831" w:type="dxa"/>
          </w:tcPr>
          <w:p w14:paraId="7C939A94" w14:textId="77777777" w:rsidR="001623AB" w:rsidRDefault="001623AB">
            <w:pPr>
              <w:pStyle w:val="TableParagraph"/>
              <w:rPr>
                <w:rFonts w:ascii="Calibri"/>
                <w:b/>
                <w:sz w:val="20"/>
              </w:rPr>
            </w:pPr>
          </w:p>
          <w:p w14:paraId="459E0AEA" w14:textId="77777777" w:rsidR="001623AB" w:rsidRDefault="001623AB">
            <w:pPr>
              <w:pStyle w:val="TableParagraph"/>
              <w:spacing w:before="6" w:after="1"/>
              <w:rPr>
                <w:rFonts w:ascii="Calibri"/>
                <w:b/>
                <w:sz w:val="23"/>
              </w:rPr>
            </w:pPr>
          </w:p>
          <w:p w14:paraId="5B158341" w14:textId="77777777" w:rsidR="001623AB" w:rsidRDefault="00000000">
            <w:pPr>
              <w:pStyle w:val="TableParagraph"/>
              <w:ind w:left="712"/>
              <w:rPr>
                <w:rFonts w:ascii="Calibri"/>
                <w:sz w:val="20"/>
              </w:rPr>
            </w:pPr>
            <w:r>
              <w:rPr>
                <w:rFonts w:ascii="Calibri"/>
                <w:noProof/>
                <w:sz w:val="20"/>
              </w:rPr>
              <w:drawing>
                <wp:inline distT="0" distB="0" distL="0" distR="0" wp14:anchorId="6FEE78E9" wp14:editId="2AA17523">
                  <wp:extent cx="956437" cy="594074"/>
                  <wp:effectExtent l="0" t="0" r="0" b="0"/>
                  <wp:docPr id="37" name="image9.jpeg" descr="cid:logoca3f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9.jpeg"/>
                          <pic:cNvPicPr/>
                        </pic:nvPicPr>
                        <pic:blipFill>
                          <a:blip r:embed="rId12" cstate="print"/>
                          <a:stretch>
                            <a:fillRect/>
                          </a:stretch>
                        </pic:blipFill>
                        <pic:spPr>
                          <a:xfrm>
                            <a:off x="0" y="0"/>
                            <a:ext cx="956437" cy="594074"/>
                          </a:xfrm>
                          <a:prstGeom prst="rect">
                            <a:avLst/>
                          </a:prstGeom>
                        </pic:spPr>
                      </pic:pic>
                    </a:graphicData>
                  </a:graphic>
                </wp:inline>
              </w:drawing>
            </w:r>
          </w:p>
        </w:tc>
        <w:tc>
          <w:tcPr>
            <w:tcW w:w="6577" w:type="dxa"/>
          </w:tcPr>
          <w:p w14:paraId="6359430E" w14:textId="77777777" w:rsidR="001623AB" w:rsidRDefault="00000000">
            <w:pPr>
              <w:pStyle w:val="TableParagraph"/>
              <w:tabs>
                <w:tab w:val="left" w:pos="4850"/>
                <w:tab w:val="left" w:pos="6406"/>
              </w:tabs>
              <w:spacing w:before="2"/>
              <w:ind w:left="110" w:right="94"/>
              <w:jc w:val="both"/>
              <w:rPr>
                <w:sz w:val="20"/>
              </w:rPr>
            </w:pPr>
            <w:r>
              <w:rPr>
                <w:color w:val="000099"/>
                <w:sz w:val="20"/>
              </w:rPr>
              <w:t xml:space="preserve">Insurance Europe </w:t>
            </w:r>
            <w:r>
              <w:rPr>
                <w:sz w:val="20"/>
              </w:rPr>
              <w:t>Avrupa sigorta ve reasürans federasyonudur. Ulusal sigorta birlikleri olan 36 üye organı aracılığıyla, her tür ve büyüklükteki sigorta ve reasürans teşebbüslerini temsil etmektedir. Merkezi Brüksel'de bulunan Insurance Europe, Avrupa'daki toplam poliçe gelirinin yaklaşık %95'ini oluşturan teşebbüsleri temsil etmektedir. Sigorta sektörü Avrupa'nın ekonomik büyümesine ve gelişmesine büyük katkı sağlamaktadır. Avrupalı sigorta şirketleri yılda 1 trilyon Euro'nun üzerinde veya günde 2.8 milyar Euro'nun üzerinde tazminat ödüyor, 920.000'den fazla kişi için doğrudan istihdam sağlıyor ve ekonomiye 10.6 trilyon Euro'nun üzerinde yatırım yapıyorlar. Basın iletişim:         Richard         MacKillican</w:t>
            </w:r>
            <w:r>
              <w:rPr>
                <w:sz w:val="20"/>
              </w:rPr>
              <w:tab/>
              <w:t>BaSın Sözcüsü</w:t>
            </w:r>
            <w:r>
              <w:rPr>
                <w:sz w:val="20"/>
              </w:rPr>
              <w:tab/>
              <w:t xml:space="preserve">- </w:t>
            </w:r>
            <w:hyperlink r:id="rId28">
              <w:r>
                <w:rPr>
                  <w:color w:val="0462C1"/>
                  <w:sz w:val="20"/>
                  <w:u w:val="single" w:color="0462C1"/>
                </w:rPr>
                <w:t>MacKillican@insuranceeurope.eu</w:t>
              </w:r>
            </w:hyperlink>
            <w:r>
              <w:rPr>
                <w:color w:val="0462C1"/>
                <w:sz w:val="20"/>
                <w:u w:val="single" w:color="0462C1"/>
              </w:rPr>
              <w:t xml:space="preserve"> </w:t>
            </w:r>
            <w:r>
              <w:rPr>
                <w:rFonts w:ascii="Calibri" w:hAnsi="Calibri"/>
                <w:color w:val="0462C1"/>
                <w:u w:val="single" w:color="0462C1"/>
              </w:rPr>
              <w:t xml:space="preserve">- </w:t>
            </w:r>
            <w:r>
              <w:rPr>
                <w:sz w:val="20"/>
              </w:rPr>
              <w:t>Tel: +32 2 896 48 22.</w:t>
            </w:r>
          </w:p>
        </w:tc>
      </w:tr>
      <w:tr w:rsidR="001623AB" w14:paraId="21BB05AB" w14:textId="77777777">
        <w:trPr>
          <w:trHeight w:val="1956"/>
        </w:trPr>
        <w:tc>
          <w:tcPr>
            <w:tcW w:w="2831" w:type="dxa"/>
          </w:tcPr>
          <w:p w14:paraId="105569E3" w14:textId="77777777" w:rsidR="001623AB" w:rsidRDefault="001623AB">
            <w:pPr>
              <w:pStyle w:val="TableParagraph"/>
              <w:spacing w:before="8" w:after="1"/>
              <w:rPr>
                <w:rFonts w:ascii="Calibri"/>
                <w:b/>
                <w:sz w:val="27"/>
              </w:rPr>
            </w:pPr>
          </w:p>
          <w:p w14:paraId="37CBEBA1" w14:textId="77777777" w:rsidR="001623AB" w:rsidRDefault="00000000">
            <w:pPr>
              <w:pStyle w:val="TableParagraph"/>
              <w:ind w:left="521"/>
              <w:rPr>
                <w:rFonts w:ascii="Calibri"/>
                <w:sz w:val="20"/>
              </w:rPr>
            </w:pPr>
            <w:r>
              <w:rPr>
                <w:rFonts w:ascii="Calibri"/>
                <w:noProof/>
                <w:sz w:val="20"/>
              </w:rPr>
              <w:drawing>
                <wp:inline distT="0" distB="0" distL="0" distR="0" wp14:anchorId="0F17882C" wp14:editId="14CFCC44">
                  <wp:extent cx="1340587" cy="438912"/>
                  <wp:effectExtent l="0" t="0" r="0" b="0"/>
                  <wp:docPr id="39" name="image18.jpeg" descr="logo leaseur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8.jpeg"/>
                          <pic:cNvPicPr/>
                        </pic:nvPicPr>
                        <pic:blipFill>
                          <a:blip r:embed="rId29" cstate="print"/>
                          <a:stretch>
                            <a:fillRect/>
                          </a:stretch>
                        </pic:blipFill>
                        <pic:spPr>
                          <a:xfrm>
                            <a:off x="0" y="0"/>
                            <a:ext cx="1340587" cy="438912"/>
                          </a:xfrm>
                          <a:prstGeom prst="rect">
                            <a:avLst/>
                          </a:prstGeom>
                        </pic:spPr>
                      </pic:pic>
                    </a:graphicData>
                  </a:graphic>
                </wp:inline>
              </w:drawing>
            </w:r>
          </w:p>
        </w:tc>
        <w:tc>
          <w:tcPr>
            <w:tcW w:w="6577" w:type="dxa"/>
          </w:tcPr>
          <w:p w14:paraId="251B41E0" w14:textId="77777777" w:rsidR="001623AB" w:rsidRDefault="00000000">
            <w:pPr>
              <w:pStyle w:val="TableParagraph"/>
              <w:spacing w:before="2"/>
              <w:ind w:left="110" w:right="93"/>
              <w:jc w:val="both"/>
              <w:rPr>
                <w:sz w:val="20"/>
              </w:rPr>
            </w:pPr>
            <w:r>
              <w:rPr>
                <w:color w:val="000099"/>
                <w:sz w:val="20"/>
              </w:rPr>
              <w:t xml:space="preserve">Leaseurope </w:t>
            </w:r>
            <w:r>
              <w:rPr>
                <w:sz w:val="20"/>
              </w:rPr>
              <w:t xml:space="preserve">- Avrupa Leasing Şirketi Dernekleri Federasyonu- Avrupa'da hem leasing hem de otomotiv kiralama sektörlerini temsil etmektedir. Leaseurope üyelerinin sunduğu ürünlerin kapsamı, kiralama-satın alma ve finansal kiralamalardan tüm varlık kategorilerinin (otomotiv, ekipman ve gayrimenkul) operasyonel kiralamalarına kadar uzanmaktadır. Ayrıca, kısa süreli araba, kamyonet ve kamyon kiralamayı da içermektedir. Basın iletişim: Richard Knubben - Genel Direktör – </w:t>
            </w:r>
            <w:hyperlink r:id="rId30">
              <w:r>
                <w:rPr>
                  <w:color w:val="0462C1"/>
                  <w:sz w:val="20"/>
                  <w:u w:val="single" w:color="0462C1"/>
                </w:rPr>
                <w:t>r.knubben@leaseurope.com</w:t>
              </w:r>
            </w:hyperlink>
            <w:r>
              <w:rPr>
                <w:color w:val="0462C1"/>
                <w:sz w:val="20"/>
              </w:rPr>
              <w:t xml:space="preserve"> </w:t>
            </w:r>
            <w:r>
              <w:rPr>
                <w:sz w:val="20"/>
              </w:rPr>
              <w:t>– Tel: +32 2 778 05 68.</w:t>
            </w:r>
          </w:p>
        </w:tc>
      </w:tr>
    </w:tbl>
    <w:p w14:paraId="1ED53C0D" w14:textId="77777777" w:rsidR="00B35484" w:rsidRDefault="00B35484"/>
    <w:sectPr w:rsidR="00B35484">
      <w:type w:val="continuous"/>
      <w:pgSz w:w="11910" w:h="16850"/>
      <w:pgMar w:top="1300" w:right="100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3AB"/>
    <w:rsid w:val="001623AB"/>
    <w:rsid w:val="003015EA"/>
    <w:rsid w:val="00B35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B7C55"/>
  <w15:docId w15:val="{ACBA667C-6BC9-4DD2-8055-A7F3B38A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18" Type="http://schemas.openxmlformats.org/officeDocument/2006/relationships/hyperlink" Target="mailto:Bernard.lycke@cecra.eu" TargetMode="External"/><Relationship Id="rId26" Type="http://schemas.openxmlformats.org/officeDocument/2006/relationships/image" Target="media/image17.jpeg"/><Relationship Id="rId3" Type="http://schemas.openxmlformats.org/officeDocument/2006/relationships/webSettings" Target="webSettings.xml"/><Relationship Id="rId21" Type="http://schemas.openxmlformats.org/officeDocument/2006/relationships/image" Target="media/image14.png"/><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image" Target="media/image12.jpeg"/><Relationship Id="rId25" Type="http://schemas.openxmlformats.org/officeDocument/2006/relationships/hyperlink" Target="mailto:dpinto@fia.com" TargetMode="External"/><Relationship Id="rId2" Type="http://schemas.openxmlformats.org/officeDocument/2006/relationships/settings" Target="settings.xml"/><Relationship Id="rId16" Type="http://schemas.openxmlformats.org/officeDocument/2006/relationships/hyperlink" Target="mailto:aukamm@zkf.de" TargetMode="External"/><Relationship Id="rId20" Type="http://schemas.openxmlformats.org/officeDocument/2006/relationships/hyperlink" Target="mailto:c.guillen@clepa.be" TargetMode="External"/><Relationship Id="rId29" Type="http://schemas.openxmlformats.org/officeDocument/2006/relationships/image" Target="media/image18.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16.jpeg"/><Relationship Id="rId32"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hyperlink" Target="mailto:laurence.eeckhout@adpa.eu" TargetMode="External"/><Relationship Id="rId23" Type="http://schemas.openxmlformats.org/officeDocument/2006/relationships/hyperlink" Target="mailto:z.sagia@etrma.org" TargetMode="External"/><Relationship Id="rId28" Type="http://schemas.openxmlformats.org/officeDocument/2006/relationships/hyperlink" Target="mailto:MacKillican@insuranceeurope.eu" TargetMode="External"/><Relationship Id="rId10" Type="http://schemas.openxmlformats.org/officeDocument/2006/relationships/image" Target="media/image7.jpe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5.png"/><Relationship Id="rId27" Type="http://schemas.openxmlformats.org/officeDocument/2006/relationships/hyperlink" Target="mailto:alvaro.delacruz@figiefa.eu" TargetMode="External"/><Relationship Id="rId30" Type="http://schemas.openxmlformats.org/officeDocument/2006/relationships/hyperlink" Target="mailto:r.knubben@leaseuro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1594</Words>
  <Characters>9086</Characters>
  <Application>Microsoft Office Word</Application>
  <DocSecurity>0</DocSecurity>
  <Lines>75</Lines>
  <Paragraphs>21</Paragraphs>
  <ScaleCrop>false</ScaleCrop>
  <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figiefa secretariat</dc:creator>
  <cp:lastModifiedBy>Esra Ucbenli</cp:lastModifiedBy>
  <cp:revision>2</cp:revision>
  <dcterms:created xsi:type="dcterms:W3CDTF">2023-01-27T08:07:00Z</dcterms:created>
  <dcterms:modified xsi:type="dcterms:W3CDTF">2023-01-27T08:07:00Z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Creator">
    <vt:lpwstr>Microsoft® Word 2016</vt:lpwstr>
  </property>
  <property fmtid="{D5CDD505-2E9C-101B-9397-08002B2CF9AE}" pid="4" name="LastSaved">
    <vt:filetime>2023-01-25T00:00:00Z</vt:filetime>
  </property>
</Properties>
</file>